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80" w:right="140" w:hanging="572"/>
        <w:spacing w:after="0" w:line="245"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30, 2025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80" w:right="140" w:hanging="572"/>
        <w:spacing w:after="0" w:line="262" w:lineRule="auto"/>
        <w:tabs>
          <w:tab w:leader="none" w:pos="5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5" w:lineRule="exact"/>
        <w:rPr>
          <w:sz w:val="24"/>
          <w:szCs w:val="24"/>
          <w:color w:val="auto"/>
        </w:rPr>
      </w:pPr>
    </w:p>
    <w:tbl>
      <w:tblPr>
        <w:tblLayout w:type="fixed"/>
        <w:tblInd w:w="35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to ______</w:t>
            </w:r>
          </w:p>
        </w:tc>
      </w:tr>
      <w:tr>
        <w:trPr>
          <w:trHeight w:val="20"/>
        </w:trPr>
        <w:tc>
          <w:tcPr>
            <w:tcW w:w="2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345"/>
        </w:trPr>
        <w:tc>
          <w:tcPr>
            <w:tcW w:w="366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Commission file number: 001-35667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AMBARELLA,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198"/>
              <w:spacing w:after="0"/>
              <w:rPr>
                <w:sz w:val="20"/>
                <w:szCs w:val="20"/>
                <w:color w:val="auto"/>
              </w:rPr>
            </w:pPr>
            <w:r>
              <w:rPr>
                <w:rFonts w:ascii="Times New Roman" w:cs="Times New Roman" w:eastAsia="Times New Roman" w:hAnsi="Times New Roman"/>
                <w:sz w:val="18"/>
                <w:szCs w:val="18"/>
                <w:b w:val="1"/>
                <w:bCs w:val="1"/>
                <w:color w:val="auto"/>
              </w:rPr>
              <w:t>98-0459628</w:t>
            </w:r>
          </w:p>
        </w:tc>
        <w:tc>
          <w:tcPr>
            <w:tcW w:w="0" w:type="dxa"/>
            <w:vAlign w:val="bottom"/>
          </w:tcPr>
          <w:p>
            <w:pPr>
              <w:spacing w:after="0"/>
              <w:rPr>
                <w:sz w:val="1"/>
                <w:szCs w:val="1"/>
                <w:color w:val="auto"/>
              </w:rPr>
            </w:pPr>
          </w:p>
        </w:tc>
      </w:tr>
      <w:tr>
        <w:trPr>
          <w:trHeight w:val="149"/>
        </w:trPr>
        <w:tc>
          <w:tcPr>
            <w:tcW w:w="4500" w:type="dxa"/>
            <w:vAlign w:val="bottom"/>
            <w:gridSpan w:val="2"/>
          </w:tcPr>
          <w:p>
            <w:pPr>
              <w:jc w:val="center"/>
              <w:ind w:left="109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700" w:type="dxa"/>
            <w:vAlign w:val="bottom"/>
          </w:tcPr>
          <w:p>
            <w:pPr>
              <w:jc w:val="center"/>
              <w:ind w:right="165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8"/>
        </w:trPr>
        <w:tc>
          <w:tcPr>
            <w:tcW w:w="4500" w:type="dxa"/>
            <w:vAlign w:val="bottom"/>
            <w:gridSpan w:val="2"/>
          </w:tcPr>
          <w:p>
            <w:pPr>
              <w:jc w:val="center"/>
              <w:ind w:left="1116"/>
              <w:spacing w:after="0"/>
              <w:rPr>
                <w:sz w:val="20"/>
                <w:szCs w:val="20"/>
                <w:color w:val="auto"/>
              </w:rPr>
            </w:pPr>
            <w:r>
              <w:rPr>
                <w:rFonts w:ascii="Times New Roman" w:cs="Times New Roman" w:eastAsia="Times New Roman" w:hAnsi="Times New Roman"/>
                <w:sz w:val="18"/>
                <w:szCs w:val="18"/>
                <w:b w:val="1"/>
                <w:bCs w:val="1"/>
                <w:color w:val="auto"/>
                <w:w w:val="99"/>
              </w:rPr>
              <w:t>3101 Jay Street</w:t>
            </w:r>
          </w:p>
        </w:tc>
        <w:tc>
          <w:tcPr>
            <w:tcW w:w="2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8"/>
                <w:szCs w:val="18"/>
                <w:b w:val="1"/>
                <w:bCs w:val="1"/>
                <w:color w:val="auto"/>
                <w:w w:val="99"/>
              </w:rPr>
              <w:t>Santa Clara, California</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398"/>
              <w:spacing w:after="0"/>
              <w:rPr>
                <w:sz w:val="20"/>
                <w:szCs w:val="20"/>
                <w:color w:val="auto"/>
              </w:rPr>
            </w:pPr>
            <w:r>
              <w:rPr>
                <w:rFonts w:ascii="Times New Roman" w:cs="Times New Roman" w:eastAsia="Times New Roman" w:hAnsi="Times New Roman"/>
                <w:sz w:val="18"/>
                <w:szCs w:val="18"/>
                <w:b w:val="1"/>
                <w:bCs w:val="1"/>
                <w:color w:val="auto"/>
              </w:rPr>
              <w:t>95054</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1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2"/>
        </w:trPr>
        <w:tc>
          <w:tcPr>
            <w:tcW w:w="3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(408) 734-8888</w:t>
            </w: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36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8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gridSpan w:val="2"/>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620" w:type="dxa"/>
            <w:vAlign w:val="bottom"/>
            <w:tcBorders>
              <w:bottom w:val="single" w:sz="8" w:color="auto"/>
            </w:tcBorders>
          </w:tcPr>
          <w:p>
            <w:pPr>
              <w:spacing w:after="0"/>
              <w:rPr>
                <w:sz w:val="21"/>
                <w:szCs w:val="21"/>
                <w:color w:val="auto"/>
              </w:rPr>
            </w:pPr>
          </w:p>
        </w:tc>
        <w:tc>
          <w:tcPr>
            <w:tcW w:w="3040" w:type="dxa"/>
            <w:vAlign w:val="bottom"/>
            <w:tcBorders>
              <w:bottom w:val="single" w:sz="8" w:color="auto"/>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5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$0.00045 Par Value Per Share</w:t>
            </w:r>
          </w:p>
        </w:tc>
        <w:tc>
          <w:tcPr>
            <w:tcW w:w="620" w:type="dxa"/>
            <w:vAlign w:val="bottom"/>
            <w:tcBorders>
              <w:bottom w:val="single" w:sz="8" w:color="auto"/>
            </w:tcBorders>
          </w:tcPr>
          <w:p>
            <w:pPr>
              <w:spacing w:after="0"/>
              <w:rPr>
                <w:sz w:val="22"/>
                <w:szCs w:val="22"/>
                <w:color w:val="auto"/>
              </w:rPr>
            </w:pPr>
          </w:p>
        </w:tc>
        <w:tc>
          <w:tcPr>
            <w:tcW w:w="3040" w:type="dxa"/>
            <w:vAlign w:val="bottom"/>
            <w:tcBorders>
              <w:bottom w:val="single" w:sz="8" w:color="auto"/>
              <w:right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AMBA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36"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92"/>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9"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1560"/>
        <w:spacing w:after="0" w:line="26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ordinary shares of the Registrant outstanding as of May 31, 2025 was 42,414,087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828040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412"/>
        </w:trPr>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4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8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23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040" w:type="dxa"/>
            <w:vAlign w:val="bottom"/>
            <w:gridSpan w:val="9"/>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4"/>
                <w:szCs w:val="24"/>
                <w:color w:val="auto"/>
              </w:rPr>
            </w:pP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 at April 30, 2025 and January 31, 2025</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80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4"/>
                <w:szCs w:val="24"/>
                <w:color w:val="auto"/>
              </w:rPr>
            </w:pP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for the three months ended April 30, 2025 and 2024</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80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78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4"/>
                <w:szCs w:val="24"/>
                <w:color w:val="auto"/>
              </w:rPr>
            </w:pPr>
          </w:p>
        </w:tc>
        <w:tc>
          <w:tcPr>
            <w:tcW w:w="89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Comprehensive Loss for the three months ended April 30, 2025 and 2024</w:t>
            </w:r>
          </w:p>
        </w:tc>
        <w:tc>
          <w:tcPr>
            <w:tcW w:w="20" w:type="dxa"/>
            <w:vAlign w:val="bottom"/>
            <w:tcBorders>
              <w:bottom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800" w:type="dxa"/>
            <w:vAlign w:val="bottom"/>
          </w:tcPr>
          <w:p>
            <w:pPr>
              <w:spacing w:after="0"/>
              <w:rPr>
                <w:sz w:val="24"/>
                <w:szCs w:val="24"/>
                <w:color w:val="auto"/>
              </w:rPr>
            </w:pP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Shareholders’ Equity for the three months ended April 30, 2025 and 2024</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4"/>
                <w:szCs w:val="24"/>
                <w:color w:val="auto"/>
              </w:rPr>
            </w:pP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three months ended April 30, 2025 and 2024</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4"/>
                <w:szCs w:val="24"/>
                <w:color w:val="auto"/>
              </w:rPr>
            </w:pP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5040" w:type="dxa"/>
            <w:vAlign w:val="bottom"/>
            <w:tcBorders>
              <w:left w:val="single" w:sz="8" w:color="0000FF"/>
            </w:tcBorders>
            <w:gridSpan w:val="8"/>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80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040" w:type="dxa"/>
            <w:vAlign w:val="bottom"/>
            <w:gridSpan w:val="8"/>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439"/>
        </w:trPr>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7"/>
        </w:trPr>
        <w:tc>
          <w:tcPr>
            <w:tcW w:w="8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20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340" w:type="dxa"/>
            <w:vAlign w:val="bottom"/>
            <w:gridSpan w:val="10"/>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5"/>
          </w:tcPr>
          <w:p>
            <w:pPr>
              <w:spacing w:after="0" w:line="20" w:lineRule="exact"/>
              <w:rPr>
                <w:sz w:val="1"/>
                <w:szCs w:val="1"/>
                <w:color w:val="auto"/>
              </w:rPr>
            </w:pPr>
          </w:p>
        </w:tc>
        <w:tc>
          <w:tcPr>
            <w:tcW w:w="5040" w:type="dxa"/>
            <w:vAlign w:val="bottom"/>
            <w:gridSpan w:val="8"/>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5040" w:type="dxa"/>
            <w:vAlign w:val="bottom"/>
            <w:gridSpan w:val="8"/>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5"/>
            <w:shd w:val="clear" w:color="auto" w:fill="0000FF"/>
          </w:tcPr>
          <w:p>
            <w:pPr>
              <w:spacing w:after="0" w:line="20" w:lineRule="exact"/>
              <w:rPr>
                <w:sz w:val="1"/>
                <w:szCs w:val="1"/>
                <w:color w:val="auto"/>
              </w:rPr>
            </w:pPr>
          </w:p>
        </w:tc>
        <w:tc>
          <w:tcPr>
            <w:tcW w:w="5040" w:type="dxa"/>
            <w:vAlign w:val="bottom"/>
            <w:gridSpan w:val="8"/>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80" w:type="dxa"/>
            <w:vAlign w:val="bottom"/>
            <w:gridSpan w:val="1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780" w:type="dxa"/>
            <w:vAlign w:val="bottom"/>
            <w:gridSpan w:val="15"/>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318"/>
        </w:trPr>
        <w:tc>
          <w:tcPr>
            <w:tcW w:w="8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9340" w:type="dxa"/>
            <w:vAlign w:val="bottom"/>
            <w:gridSpan w:val="16"/>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86"/>
        </w:trPr>
        <w:tc>
          <w:tcPr>
            <w:tcW w:w="7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7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141,285</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118,102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39,289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701,918</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35,290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129,202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Preference shares, $0.00045 par value per share, 20,000,000 shares authorized and no shares issued</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outstanding at April 30, 2025 and January 31, 2025, respectively</w:t>
            </w:r>
          </w:p>
        </w:tc>
        <w:tc>
          <w:tcPr>
            <w:tcW w:w="3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Ordinary shares, $0.00045 par value per share, 200,000,000 shares authorized; 42,413,608 and</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41,963,959 shares issued and outstanding at April 30, 2025 and January 31, 2025, respectively</w:t>
            </w: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(276,385)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(252,057)</w:t>
            </w: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572,716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561,412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701,918</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-4088130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-4088130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-3256915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-2125345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-1559560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142"/>
        </w:trPr>
        <w:tc>
          <w:tcPr>
            <w:tcW w:w="790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85,872</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54,473</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21,313</w:t>
            </w:r>
          </w:p>
        </w:tc>
        <w:tc>
          <w:tcPr>
            <w:tcW w:w="100" w:type="dxa"/>
            <w:vAlign w:val="bottom"/>
          </w:tcPr>
          <w:p>
            <w:pPr>
              <w:spacing w:after="0"/>
              <w:rPr>
                <w:sz w:val="18"/>
                <w:szCs w:val="18"/>
                <w:color w:val="auto"/>
              </w:rPr>
            </w:pPr>
          </w:p>
        </w:tc>
      </w:tr>
      <w:tr>
        <w:trPr>
          <w:trHeight w:val="210"/>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51,536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58,819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54,137</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18,468</w:t>
            </w:r>
          </w:p>
        </w:tc>
        <w:tc>
          <w:tcPr>
            <w:tcW w:w="100" w:type="dxa"/>
            <w:vAlign w:val="bottom"/>
          </w:tcPr>
          <w:p>
            <w:pPr>
              <w:spacing w:after="0"/>
              <w:rPr>
                <w:sz w:val="18"/>
                <w:szCs w:val="18"/>
                <w:color w:val="auto"/>
              </w:rPr>
            </w:pPr>
          </w:p>
        </w:tc>
      </w:tr>
      <w:tr>
        <w:trPr>
          <w:trHeight w:val="210"/>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77,394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(39,445)</w:t>
            </w:r>
          </w:p>
        </w:tc>
      </w:tr>
      <w:tr>
        <w:trPr>
          <w:trHeight w:val="216"/>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(37,174)</w:t>
            </w:r>
          </w:p>
        </w:tc>
      </w:tr>
      <w:tr>
        <w:trPr>
          <w:trHeight w:val="216"/>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(24,328)</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(37,932)</w:t>
            </w:r>
          </w:p>
        </w:tc>
      </w:tr>
      <w:tr>
        <w:trPr>
          <w:trHeight w:val="20"/>
        </w:trPr>
        <w:tc>
          <w:tcPr>
            <w:tcW w:w="7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9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ordinary shareholders:</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(0.58)</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(0.93)</w:t>
            </w:r>
          </w:p>
        </w:tc>
      </w:tr>
      <w:tr>
        <w:trPr>
          <w:trHeight w:val="20"/>
        </w:trPr>
        <w:tc>
          <w:tcPr>
            <w:tcW w:w="7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900" w:type="dxa"/>
            <w:vAlign w:val="bottom"/>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(0.58)</w:t>
            </w:r>
          </w:p>
        </w:tc>
        <w:tc>
          <w:tcPr>
            <w:tcW w:w="44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(0.93)</w:t>
            </w:r>
          </w:p>
        </w:tc>
      </w:tr>
      <w:tr>
        <w:trPr>
          <w:trHeight w:val="197"/>
        </w:trPr>
        <w:tc>
          <w:tcPr>
            <w:tcW w:w="79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 ordinary shareholders: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79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42,219,972</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40,774,991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79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42,219,972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40,774,991</w:t>
            </w:r>
          </w:p>
        </w:tc>
        <w:tc>
          <w:tcPr>
            <w:tcW w:w="100" w:type="dxa"/>
            <w:vAlign w:val="bottom"/>
          </w:tcPr>
          <w:p>
            <w:pPr>
              <w:spacing w:after="0"/>
              <w:rPr>
                <w:sz w:val="17"/>
                <w:szCs w:val="17"/>
                <w:color w:val="auto"/>
              </w:rPr>
            </w:pPr>
          </w:p>
        </w:tc>
      </w:tr>
      <w:tr>
        <w:trPr>
          <w:trHeight w:val="20"/>
        </w:trPr>
        <w:tc>
          <w:tcPr>
            <w:tcW w:w="7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-2228215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-1662430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-1379220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-1096645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-487680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-471170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-187960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14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(24,328)</w:t>
            </w: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(37,932)</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2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(389)</w:t>
            </w:r>
          </w:p>
        </w:tc>
      </w:tr>
      <w:tr>
        <w:trPr>
          <w:trHeight w:val="20"/>
        </w:trPr>
        <w:tc>
          <w:tcPr>
            <w:tcW w:w="5560" w:type="dxa"/>
            <w:vAlign w:val="bottom"/>
            <w:shd w:val="clear" w:color="auto" w:fill="CFF0FC"/>
          </w:tcPr>
          <w:p>
            <w:pPr>
              <w:spacing w:after="0" w:line="20" w:lineRule="exact"/>
              <w:rPr>
                <w:sz w:val="1"/>
                <w:szCs w:val="1"/>
                <w:color w:val="auto"/>
              </w:rPr>
            </w:pPr>
          </w:p>
        </w:tc>
        <w:tc>
          <w:tcPr>
            <w:tcW w:w="21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w:t>
            </w:r>
          </w:p>
        </w:tc>
      </w:tr>
      <w:tr>
        <w:trPr>
          <w:trHeight w:val="20"/>
        </w:trPr>
        <w:tc>
          <w:tcPr>
            <w:tcW w:w="5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(23,769)</w:t>
            </w: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(38,321)</w:t>
            </w:r>
          </w:p>
        </w:tc>
      </w:tr>
      <w:tr>
        <w:trPr>
          <w:trHeight w:val="20"/>
        </w:trPr>
        <w:tc>
          <w:tcPr>
            <w:tcW w:w="556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920" w:type="dxa"/>
            <w:vAlign w:val="bottom"/>
            <w:gridSpan w:val="4"/>
          </w:tcPr>
          <w:p>
            <w:pPr>
              <w:jc w:val="center"/>
              <w:ind w:left="111"/>
              <w:spacing w:after="0" w:line="135" w:lineRule="exact"/>
              <w:rPr>
                <w:sz w:val="20"/>
                <w:szCs w:val="20"/>
                <w:color w:val="auto"/>
              </w:rPr>
            </w:pPr>
            <w:r>
              <w:rPr>
                <w:rFonts w:ascii="Times New Roman" w:cs="Times New Roman" w:eastAsia="Times New Roman" w:hAnsi="Times New Roman"/>
                <w:sz w:val="13"/>
                <w:szCs w:val="13"/>
                <w:b w:val="1"/>
                <w:bCs w:val="1"/>
                <w:color w:val="auto"/>
                <w:w w:val="95"/>
              </w:rPr>
              <w:t>Outstanding</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6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920" w:type="dxa"/>
            <w:vAlign w:val="bottom"/>
            <w:gridSpan w:val="4"/>
            <w:vMerge w:val="restart"/>
          </w:tcPr>
          <w:p>
            <w:pPr>
              <w:jc w:val="center"/>
              <w:ind w:left="111"/>
              <w:spacing w:after="0"/>
              <w:rPr>
                <w:sz w:val="20"/>
                <w:szCs w:val="20"/>
                <w:color w:val="auto"/>
              </w:rPr>
            </w:pPr>
            <w:r>
              <w:rPr>
                <w:rFonts w:ascii="Times New Roman" w:cs="Times New Roman" w:eastAsia="Times New Roman" w:hAnsi="Times New Roman"/>
                <w:sz w:val="13"/>
                <w:szCs w:val="13"/>
                <w:b w:val="1"/>
                <w:bCs w:val="1"/>
                <w:color w:val="auto"/>
                <w:w w:val="96"/>
              </w:rPr>
              <w:t>Ordinary Shares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920" w:type="dxa"/>
            <w:vAlign w:val="bottom"/>
            <w:tcBorders>
              <w:bottom w:val="single" w:sz="8" w:color="auto"/>
            </w:tcBorders>
            <w:gridSpan w:val="4"/>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60" w:type="dxa"/>
            <w:vAlign w:val="bottom"/>
          </w:tcPr>
          <w:p>
            <w:pPr>
              <w:spacing w:after="0"/>
              <w:rPr>
                <w:sz w:val="12"/>
                <w:szCs w:val="12"/>
                <w:color w:val="auto"/>
              </w:rPr>
            </w:pPr>
          </w:p>
        </w:tc>
        <w:tc>
          <w:tcPr>
            <w:tcW w:w="9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80" w:type="dxa"/>
            <w:vAlign w:val="bottom"/>
          </w:tcPr>
          <w:p>
            <w:pPr>
              <w:spacing w:after="0"/>
              <w:rPr>
                <w:sz w:val="12"/>
                <w:szCs w:val="12"/>
                <w:color w:val="auto"/>
              </w:rPr>
            </w:pPr>
          </w:p>
        </w:tc>
        <w:tc>
          <w:tcPr>
            <w:tcW w:w="11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9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Balance--January 31, 2025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41,963,959</w:t>
            </w: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572"/>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813,683</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(233)</w:t>
            </w:r>
          </w:p>
        </w:tc>
        <w:tc>
          <w:tcPr>
            <w:tcW w:w="26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(252,057)</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561,412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375,046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6,713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98,755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4,479</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4,479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 repurchase</w:t>
            </w: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(24,152)</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24,881</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24,881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 - net of tax</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(24,328)</w:t>
            </w: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(24,328)</w:t>
            </w:r>
          </w:p>
        </w:tc>
        <w:tc>
          <w:tcPr>
            <w:tcW w:w="0" w:type="dxa"/>
            <w:vAlign w:val="bottom"/>
          </w:tcPr>
          <w:p>
            <w:pPr>
              <w:spacing w:after="0"/>
              <w:rPr>
                <w:sz w:val="1"/>
                <w:szCs w:val="1"/>
                <w:color w:val="auto"/>
              </w:rPr>
            </w:pPr>
          </w:p>
        </w:tc>
      </w:tr>
      <w:tr>
        <w:trPr>
          <w:trHeight w:val="142"/>
        </w:trPr>
        <w:tc>
          <w:tcPr>
            <w:tcW w:w="462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Balance--April 30, 2025</w:t>
            </w: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42,413,608</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bottom w:val="single" w:sz="8" w:color="CFF0FC"/>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572"/>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19</w:t>
            </w:r>
          </w:p>
        </w:tc>
        <w:tc>
          <w:tcPr>
            <w:tcW w:w="22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848,756</w:t>
            </w:r>
          </w:p>
        </w:tc>
        <w:tc>
          <w:tcPr>
            <w:tcW w:w="220" w:type="dxa"/>
            <w:vAlign w:val="bottom"/>
            <w:tcBorders>
              <w:top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326</w:t>
            </w: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32"/>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(276,385)</w:t>
            </w:r>
          </w:p>
        </w:tc>
        <w:tc>
          <w:tcPr>
            <w:tcW w:w="22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572,716</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4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920" w:type="dxa"/>
            <w:vAlign w:val="bottom"/>
            <w:gridSpan w:val="4"/>
          </w:tcPr>
          <w:p>
            <w:pPr>
              <w:jc w:val="center"/>
              <w:ind w:left="111"/>
              <w:spacing w:after="0" w:line="135" w:lineRule="exact"/>
              <w:rPr>
                <w:sz w:val="20"/>
                <w:szCs w:val="20"/>
                <w:color w:val="auto"/>
              </w:rPr>
            </w:pPr>
            <w:r>
              <w:rPr>
                <w:rFonts w:ascii="Times New Roman" w:cs="Times New Roman" w:eastAsia="Times New Roman" w:hAnsi="Times New Roman"/>
                <w:sz w:val="13"/>
                <w:szCs w:val="13"/>
                <w:b w:val="1"/>
                <w:bCs w:val="1"/>
                <w:color w:val="auto"/>
                <w:w w:val="95"/>
              </w:rPr>
              <w:t>Outstanding</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6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920" w:type="dxa"/>
            <w:vAlign w:val="bottom"/>
            <w:gridSpan w:val="4"/>
            <w:vMerge w:val="restart"/>
          </w:tcPr>
          <w:p>
            <w:pPr>
              <w:jc w:val="center"/>
              <w:ind w:left="111"/>
              <w:spacing w:after="0"/>
              <w:rPr>
                <w:sz w:val="20"/>
                <w:szCs w:val="20"/>
                <w:color w:val="auto"/>
              </w:rPr>
            </w:pPr>
            <w:r>
              <w:rPr>
                <w:rFonts w:ascii="Times New Roman" w:cs="Times New Roman" w:eastAsia="Times New Roman" w:hAnsi="Times New Roman"/>
                <w:sz w:val="13"/>
                <w:szCs w:val="13"/>
                <w:b w:val="1"/>
                <w:bCs w:val="1"/>
                <w:color w:val="auto"/>
                <w:w w:val="96"/>
              </w:rPr>
              <w:t>Ordinary Shares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920" w:type="dxa"/>
            <w:vAlign w:val="bottom"/>
            <w:tcBorders>
              <w:bottom w:val="single" w:sz="8" w:color="auto"/>
            </w:tcBorders>
            <w:gridSpan w:val="4"/>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60" w:type="dxa"/>
            <w:vAlign w:val="bottom"/>
          </w:tcPr>
          <w:p>
            <w:pPr>
              <w:spacing w:after="0"/>
              <w:rPr>
                <w:sz w:val="12"/>
                <w:szCs w:val="12"/>
                <w:color w:val="auto"/>
              </w:rPr>
            </w:pPr>
          </w:p>
        </w:tc>
        <w:tc>
          <w:tcPr>
            <w:tcW w:w="9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income</w:t>
            </w:r>
          </w:p>
        </w:tc>
        <w:tc>
          <w:tcPr>
            <w:tcW w:w="80" w:type="dxa"/>
            <w:vAlign w:val="bottom"/>
          </w:tcPr>
          <w:p>
            <w:pPr>
              <w:spacing w:after="0"/>
              <w:rPr>
                <w:sz w:val="12"/>
                <w:szCs w:val="12"/>
                <w:color w:val="auto"/>
              </w:rPr>
            </w:pPr>
          </w:p>
        </w:tc>
        <w:tc>
          <w:tcPr>
            <w:tcW w:w="11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Balance--January 31, 2024</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6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8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4620" w:type="dxa"/>
            <w:vAlign w:val="bottom"/>
            <w:vMerge w:val="continue"/>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40,520,558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694,967</w:t>
            </w: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(134,931)</w:t>
            </w:r>
          </w:p>
        </w:tc>
        <w:tc>
          <w:tcPr>
            <w:tcW w:w="220" w:type="dxa"/>
            <w:vAlign w:val="bottom"/>
          </w:tcPr>
          <w:p>
            <w:pPr>
              <w:spacing w:after="0"/>
              <w:rPr>
                <w:sz w:val="12"/>
                <w:szCs w:val="12"/>
                <w:color w:val="auto"/>
              </w:rPr>
            </w:pPr>
          </w:p>
        </w:tc>
        <w:tc>
          <w:tcPr>
            <w:tcW w:w="18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559,871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367,413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4,237</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97,074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4,055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25,583</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25,583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 - net of tax</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(37,932)</w:t>
            </w: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(37,932)</w:t>
            </w:r>
          </w:p>
        </w:tc>
        <w:tc>
          <w:tcPr>
            <w:tcW w:w="0" w:type="dxa"/>
            <w:vAlign w:val="bottom"/>
          </w:tcPr>
          <w:p>
            <w:pPr>
              <w:spacing w:after="0"/>
              <w:rPr>
                <w:sz w:val="1"/>
                <w:szCs w:val="1"/>
                <w:color w:val="auto"/>
              </w:rPr>
            </w:pPr>
          </w:p>
        </w:tc>
      </w:tr>
      <w:tr>
        <w:trPr>
          <w:trHeight w:val="142"/>
        </w:trPr>
        <w:tc>
          <w:tcPr>
            <w:tcW w:w="462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Balance--April 30, 2024</w:t>
            </w: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40,985,045</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bottom w:val="single" w:sz="8" w:color="CFF0FC"/>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572"/>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728,842</w:t>
            </w:r>
          </w:p>
        </w:tc>
        <w:tc>
          <w:tcPr>
            <w:tcW w:w="220" w:type="dxa"/>
            <w:vAlign w:val="bottom"/>
            <w:tcBorders>
              <w:top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(572)</w:t>
            </w:r>
          </w:p>
        </w:tc>
        <w:tc>
          <w:tcPr>
            <w:tcW w:w="12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32"/>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(172,863)</w:t>
            </w:r>
          </w:p>
        </w:tc>
        <w:tc>
          <w:tcPr>
            <w:tcW w:w="22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555,425</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-1473835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-1473835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-1473835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-1473835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-1473835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-128270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-128270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-128270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-128270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-128270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0" w:type="dxa"/>
            <w:vAlign w:val="bottom"/>
          </w:tcPr>
          <w:p>
            <w:pPr>
              <w:spacing w:after="0"/>
              <w:rPr>
                <w:sz w:val="15"/>
                <w:szCs w:val="15"/>
                <w:color w:val="auto"/>
              </w:rPr>
            </w:pPr>
          </w:p>
        </w:tc>
        <w:tc>
          <w:tcPr>
            <w:tcW w:w="272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8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96"/>
        </w:trPr>
        <w:tc>
          <w:tcPr>
            <w:tcW w:w="78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900" w:type="dxa"/>
            <w:vAlign w:val="bottom"/>
          </w:tcPr>
          <w:p>
            <w:pPr>
              <w:jc w:val="right"/>
              <w:ind w:right="78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(24,328)</w:t>
            </w: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(37,932)</w:t>
            </w:r>
          </w:p>
        </w:tc>
      </w:tr>
      <w:tr>
        <w:trPr>
          <w:trHeight w:val="203"/>
        </w:trPr>
        <w:tc>
          <w:tcPr>
            <w:tcW w:w="780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(used in) operating activities:</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6,354</w:t>
            </w:r>
          </w:p>
        </w:tc>
        <w:tc>
          <w:tcPr>
            <w:tcW w:w="120" w:type="dxa"/>
            <w:vAlign w:val="bottom"/>
          </w:tcPr>
          <w:p>
            <w:pPr>
              <w:spacing w:after="0"/>
              <w:rPr>
                <w:sz w:val="17"/>
                <w:szCs w:val="17"/>
                <w:color w:val="auto"/>
              </w:rPr>
            </w:pPr>
          </w:p>
        </w:tc>
      </w:tr>
      <w:tr>
        <w:trPr>
          <w:trHeight w:val="203"/>
        </w:trPr>
        <w:tc>
          <w:tcPr>
            <w:tcW w:w="780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Amortization (accretion) of premium (discount) on marketable debt securities, net</w:t>
            </w:r>
          </w:p>
        </w:tc>
        <w:tc>
          <w:tcPr>
            <w:tcW w:w="9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(205)</w:t>
            </w:r>
          </w:p>
        </w:tc>
      </w:tr>
      <w:tr>
        <w:trPr>
          <w:trHeight w:val="203"/>
        </w:trPr>
        <w:tc>
          <w:tcPr>
            <w:tcW w:w="7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Stock-based compensation</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26,036</w:t>
            </w:r>
          </w:p>
        </w:tc>
        <w:tc>
          <w:tcPr>
            <w:tcW w:w="120" w:type="dxa"/>
            <w:vAlign w:val="bottom"/>
          </w:tcPr>
          <w:p>
            <w:pPr>
              <w:spacing w:after="0"/>
              <w:rPr>
                <w:sz w:val="17"/>
                <w:szCs w:val="17"/>
                <w:color w:val="auto"/>
              </w:rPr>
            </w:pPr>
          </w:p>
        </w:tc>
      </w:tr>
      <w:tr>
        <w:trPr>
          <w:trHeight w:val="203"/>
        </w:trPr>
        <w:tc>
          <w:tcPr>
            <w:tcW w:w="780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Deferred income taxes</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Other non-cash items, net</w:t>
            </w:r>
          </w:p>
        </w:tc>
        <w:tc>
          <w:tcPr>
            <w:tcW w:w="9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120" w:type="dxa"/>
            <w:vAlign w:val="bottom"/>
          </w:tcPr>
          <w:p>
            <w:pPr>
              <w:spacing w:after="0"/>
              <w:rPr>
                <w:sz w:val="17"/>
                <w:szCs w:val="17"/>
                <w:color w:val="auto"/>
              </w:rPr>
            </w:pPr>
          </w:p>
        </w:tc>
      </w:tr>
      <w:tr>
        <w:trPr>
          <w:trHeight w:val="203"/>
        </w:trPr>
        <w:tc>
          <w:tcPr>
            <w:tcW w:w="780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Accounts receivable</w:t>
            </w:r>
          </w:p>
        </w:tc>
        <w:tc>
          <w:tcPr>
            <w:tcW w:w="9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(468)</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(3,349)</w:t>
            </w:r>
          </w:p>
        </w:tc>
      </w:tr>
      <w:tr>
        <w:trPr>
          <w:trHeight w:val="202"/>
        </w:trPr>
        <w:tc>
          <w:tcPr>
            <w:tcW w:w="780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Inventories</w:t>
            </w:r>
          </w:p>
        </w:tc>
        <w:tc>
          <w:tcPr>
            <w:tcW w:w="9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(4,861)</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928</w:t>
            </w: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9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(702)</w:t>
            </w:r>
          </w:p>
        </w:tc>
      </w:tr>
      <w:tr>
        <w:trPr>
          <w:trHeight w:val="203"/>
        </w:trPr>
        <w:tc>
          <w:tcPr>
            <w:tcW w:w="780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Other non-current assets</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(13)</w:t>
            </w:r>
          </w:p>
        </w:tc>
      </w:tr>
      <w:tr>
        <w:trPr>
          <w:trHeight w:val="203"/>
        </w:trPr>
        <w:tc>
          <w:tcPr>
            <w:tcW w:w="7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Accounts payable</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(12,037)</w:t>
            </w:r>
          </w:p>
        </w:tc>
      </w:tr>
      <w:tr>
        <w:trPr>
          <w:trHeight w:val="203"/>
        </w:trPr>
        <w:tc>
          <w:tcPr>
            <w:tcW w:w="780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9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(692)</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5,806</w:t>
            </w: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Income taxes payable</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(637)</w:t>
            </w:r>
          </w:p>
        </w:tc>
      </w:tr>
      <w:tr>
        <w:trPr>
          <w:trHeight w:val="203"/>
        </w:trPr>
        <w:tc>
          <w:tcPr>
            <w:tcW w:w="780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Deferred revenue</w:t>
            </w:r>
          </w:p>
        </w:tc>
        <w:tc>
          <w:tcPr>
            <w:tcW w:w="9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(1,984)</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1,115</w:t>
            </w: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9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(971)</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(983)</w:t>
            </w:r>
          </w:p>
        </w:tc>
      </w:tr>
      <w:tr>
        <w:trPr>
          <w:trHeight w:val="203"/>
        </w:trPr>
        <w:tc>
          <w:tcPr>
            <w:tcW w:w="7800" w:type="dxa"/>
            <w:vAlign w:val="bottom"/>
            <w:tcBorders>
              <w:bottom w:val="single" w:sz="8" w:color="CFF0FC"/>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9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8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(14,951)</w:t>
            </w:r>
          </w:p>
        </w:tc>
      </w:tr>
      <w:tr>
        <w:trPr>
          <w:trHeight w:val="196"/>
        </w:trPr>
        <w:tc>
          <w:tcPr>
            <w:tcW w:w="78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2"/>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 of investments</w:t>
            </w:r>
          </w:p>
        </w:tc>
        <w:tc>
          <w:tcPr>
            <w:tcW w:w="9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(21,048)</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(6,653)</w:t>
            </w:r>
          </w:p>
        </w:tc>
      </w:tr>
      <w:tr>
        <w:trPr>
          <w:trHeight w:val="203"/>
        </w:trPr>
        <w:tc>
          <w:tcPr>
            <w:tcW w:w="780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Sales of investments</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1,428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7,195</w:t>
            </w:r>
          </w:p>
        </w:tc>
        <w:tc>
          <w:tcPr>
            <w:tcW w:w="120" w:type="dxa"/>
            <w:vAlign w:val="bottom"/>
            <w:shd w:val="clear" w:color="auto" w:fill="CFF0FC"/>
          </w:tcPr>
          <w:p>
            <w:pPr>
              <w:spacing w:after="0"/>
              <w:rPr>
                <w:sz w:val="17"/>
                <w:szCs w:val="17"/>
                <w:color w:val="auto"/>
              </w:rPr>
            </w:pPr>
          </w:p>
        </w:tc>
      </w:tr>
      <w:tr>
        <w:trPr>
          <w:trHeight w:val="216"/>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Maturities of investments</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2,725</w:t>
            </w:r>
          </w:p>
        </w:tc>
        <w:tc>
          <w:tcPr>
            <w:tcW w:w="120" w:type="dxa"/>
            <w:vAlign w:val="bottom"/>
          </w:tcPr>
          <w:p>
            <w:pPr>
              <w:spacing w:after="0"/>
              <w:rPr>
                <w:sz w:val="18"/>
                <w:szCs w:val="18"/>
                <w:color w:val="auto"/>
              </w:rPr>
            </w:pPr>
          </w:p>
        </w:tc>
      </w:tr>
      <w:tr>
        <w:trPr>
          <w:trHeight w:val="203"/>
        </w:trPr>
        <w:tc>
          <w:tcPr>
            <w:tcW w:w="780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Purchase of tangible and intangible assets</w:t>
            </w:r>
          </w:p>
        </w:tc>
        <w:tc>
          <w:tcPr>
            <w:tcW w:w="9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(4,565)</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(1,132)</w:t>
            </w:r>
          </w:p>
        </w:tc>
      </w:tr>
      <w:tr>
        <w:trPr>
          <w:trHeight w:val="20"/>
        </w:trPr>
        <w:tc>
          <w:tcPr>
            <w:tcW w:w="7800" w:type="dxa"/>
            <w:vAlign w:val="bottom"/>
            <w:tcBorders>
              <w:right w:val="single" w:sz="8" w:color="CFF0FC"/>
            </w:tcBorders>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78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9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(16,154)</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2,135</w:t>
            </w:r>
          </w:p>
        </w:tc>
        <w:tc>
          <w:tcPr>
            <w:tcW w:w="120" w:type="dxa"/>
            <w:vAlign w:val="bottom"/>
          </w:tcPr>
          <w:p>
            <w:pPr>
              <w:spacing w:after="0"/>
              <w:rPr>
                <w:sz w:val="17"/>
                <w:szCs w:val="17"/>
                <w:color w:val="auto"/>
              </w:rPr>
            </w:pPr>
          </w:p>
        </w:tc>
      </w:tr>
      <w:tr>
        <w:trPr>
          <w:trHeight w:val="196"/>
        </w:trPr>
        <w:tc>
          <w:tcPr>
            <w:tcW w:w="78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 repurchase</w:t>
            </w:r>
          </w:p>
        </w:tc>
        <w:tc>
          <w:tcPr>
            <w:tcW w:w="9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80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Proceeds from exercise of stock options and employee stock purchase plan</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2,627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2,903</w:t>
            </w: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Long-term financing payment for intangible assets</w:t>
            </w:r>
          </w:p>
        </w:tc>
        <w:tc>
          <w:tcPr>
            <w:tcW w:w="9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(3,177)</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(3,191)</w:t>
            </w:r>
          </w:p>
        </w:tc>
      </w:tr>
      <w:tr>
        <w:trPr>
          <w:trHeight w:val="20"/>
        </w:trPr>
        <w:tc>
          <w:tcPr>
            <w:tcW w:w="7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800" w:type="dxa"/>
            <w:vAlign w:val="bottom"/>
            <w:tcBorders>
              <w:right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9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(1,550)</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(288)</w:t>
            </w:r>
          </w:p>
        </w:tc>
      </w:tr>
      <w:tr>
        <w:trPr>
          <w:trHeight w:val="20"/>
        </w:trPr>
        <w:tc>
          <w:tcPr>
            <w:tcW w:w="7800" w:type="dxa"/>
            <w:vAlign w:val="bottom"/>
            <w:tcBorders>
              <w:right w:val="single" w:sz="8" w:color="CFF0FC"/>
            </w:tcBorders>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9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(2,903)</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(13,104)</w:t>
            </w:r>
          </w:p>
        </w:tc>
      </w:tr>
      <w:tr>
        <w:trPr>
          <w:trHeight w:val="203"/>
        </w:trPr>
        <w:tc>
          <w:tcPr>
            <w:tcW w:w="780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9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144,629</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144,921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900" w:type="dxa"/>
            <w:vAlign w:val="bottom"/>
          </w:tcPr>
          <w:p>
            <w:pPr>
              <w:jc w:val="right"/>
              <w:ind w:right="78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141,726</w:t>
            </w:r>
          </w:p>
        </w:tc>
        <w:tc>
          <w:tcPr>
            <w:tcW w:w="160" w:type="dxa"/>
            <w:vAlign w:val="bottom"/>
          </w:tcPr>
          <w:p>
            <w:pPr>
              <w:spacing w:after="0"/>
              <w:rPr>
                <w:sz w:val="17"/>
                <w:szCs w:val="17"/>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131,817</w:t>
            </w:r>
          </w:p>
        </w:tc>
        <w:tc>
          <w:tcPr>
            <w:tcW w:w="120" w:type="dxa"/>
            <w:vAlign w:val="bottom"/>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800" w:type="dxa"/>
            <w:vAlign w:val="bottom"/>
            <w:tcBorders>
              <w:right w:val="single" w:sz="8" w:color="CFF0FC"/>
            </w:tcBorders>
            <w:shd w:val="clear" w:color="auto" w:fill="CFF0FC"/>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9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900" w:type="dxa"/>
            <w:vAlign w:val="bottom"/>
          </w:tcPr>
          <w:p>
            <w:pPr>
              <w:jc w:val="right"/>
              <w:ind w:right="78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60" w:type="dxa"/>
            <w:vAlign w:val="bottom"/>
          </w:tcPr>
          <w:p>
            <w:pPr>
              <w:spacing w:after="0"/>
              <w:rPr>
                <w:sz w:val="17"/>
                <w:szCs w:val="17"/>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w:t>
            </w:r>
          </w:p>
        </w:tc>
        <w:tc>
          <w:tcPr>
            <w:tcW w:w="120" w:type="dxa"/>
            <w:vAlign w:val="bottom"/>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800" w:type="dxa"/>
            <w:vAlign w:val="bottom"/>
            <w:tcBorders>
              <w:right w:val="single" w:sz="8" w:color="CFF0FC"/>
            </w:tcBorders>
            <w:shd w:val="clear" w:color="auto" w:fill="CFF0FC"/>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disclosure of noncash investing activities:</w:t>
            </w:r>
          </w:p>
        </w:tc>
        <w:tc>
          <w:tcPr>
            <w:tcW w:w="9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Unpaid liabilities related to tangible and intangible assets purchases</w:t>
            </w:r>
          </w:p>
        </w:tc>
        <w:tc>
          <w:tcPr>
            <w:tcW w:w="900" w:type="dxa"/>
            <w:vAlign w:val="bottom"/>
          </w:tcPr>
          <w:p>
            <w:pPr>
              <w:jc w:val="right"/>
              <w:ind w:right="78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3,519</w:t>
            </w:r>
          </w:p>
        </w:tc>
        <w:tc>
          <w:tcPr>
            <w:tcW w:w="160" w:type="dxa"/>
            <w:vAlign w:val="bottom"/>
          </w:tcPr>
          <w:p>
            <w:pPr>
              <w:spacing w:after="0"/>
              <w:rPr>
                <w:sz w:val="17"/>
                <w:szCs w:val="17"/>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20" w:type="dxa"/>
            <w:vAlign w:val="bottom"/>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-2588260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-2588260</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-1790700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-1790700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-993775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-993775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-728345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ind w:left="480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Ambarella, Inc. (the Company) was incorporated in the Cayman Islands on January 15, 2004. The Company is a leading developer of low-power semiconductor solutions offering powerful artificial intelligence (AI) processing, advanced image signal processing, and high-definition (HD) and Ultra HD compression.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products fully integrate high-definition video processing, image processing, AI algorithms, audio processing and system functions onto a single chip. These low power SoCs deliver exceptional video and image quality and can extract valuable data from high-resolution video and radar streams. The Company is currently addressing a broad range of human and AI applications, including video security, advanced driver assistance systems (ADAS), electronic mirrors, drive recorders, driver/cabin monitoring systems, autonomous driving, and industrial and robotic applications.</w:t>
      </w:r>
    </w:p>
    <w:p>
      <w:pPr>
        <w:spacing w:after="0" w:line="18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Company sells its solutions to leading original equipment manufacturers, or OEMs, who include the Company’s SoCs in their products, and original design manufacturers, or ODMs, who include the Company’s SoCs in the products that they supply to OEMs, globally.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the Company in accordance with the instructions to Form 10-Q pursuant to the rules and regulations of the Securities and Exchange Commission (SEC) and, therefore, do not include all information and notes normally provided in audited financial statements. The accounting policies are described in the “Notes to Consolidated Financial Statements” in the Annual Report on Form 10-K for the 2025 fiscal year filed with the SEC on March 28, 2025 (the Form 10-K) and updated, as necessary, in this Form 10-Q. The year-end condensed consolidated balance sheet data presented for comparative purposes was derived from audited financial statements. In the opinion of management, all adjustments (consisting of normal recurring accruals and adjustments) considered necessary for a fair statement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the Form 10-K.</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January 31. The condensed consolidated financial statements of the Company and its subsidiaries have been prepared in conformity with U.S. GAAP. All intercompany transactions and balances have been eliminated upon consolidation.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7"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There have been no material changes to the Company’s significant accounting policies described in Note 1, </w:t>
      </w:r>
      <w:r>
        <w:rPr>
          <w:rFonts w:ascii="Times New Roman" w:cs="Times New Roman" w:eastAsia="Times New Roman" w:hAnsi="Times New Roman"/>
          <w:sz w:val="18"/>
          <w:szCs w:val="18"/>
          <w:i w:val="1"/>
          <w:iCs w:val="1"/>
          <w:color w:val="auto"/>
        </w:rPr>
        <w:t>Organization and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of the Notes to Consolidated Financial Statements included in the Company’s Annual Report on Form 10-K for the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January 31, 2025.</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 w:name="page9"/>
    <w:bookmarkEnd w:id="8"/>
    <w:p>
      <w:pPr>
        <w:ind w:right="160" w:firstLine="554"/>
        <w:spacing w:after="0" w:line="256" w:lineRule="auto"/>
        <w:rPr>
          <w:sz w:val="20"/>
          <w:szCs w:val="20"/>
          <w:color w:val="auto"/>
        </w:rPr>
      </w:pPr>
      <w:r>
        <w:rPr>
          <w:rFonts w:ascii="Times New Roman" w:cs="Times New Roman" w:eastAsia="Times New Roman" w:hAnsi="Times New Roman"/>
          <w:sz w:val="18"/>
          <w:szCs w:val="18"/>
          <w:color w:val="auto"/>
        </w:rPr>
        <w:t>A substantial portion of the Company’s revenue is derived from sales through one of its distributors, WT Microelectronics Co., Ltd., formerly Wintech Microelectronics Co., Ltd., or WT, which serves as its non-exclusive sales representative and fulfillment partner in Asia other than Japan, and to one ODM, Chicony Electronics Co., Ltd., or Chicony, which manufactures devices incorporating the Company’s solutions on behalf of multiple end-customers. Termination of the relationships with these customers could result in a temporary or permanent loss of revenue. Furthermore, any credit issues from these customers could impair their abilities to make timely payment to the Company. See Note 15 for additional information regarding revenue and credit concentration with these customers.</w:t>
      </w:r>
    </w:p>
    <w:p>
      <w:pPr>
        <w:spacing w:after="0" w:line="187" w:lineRule="exact"/>
        <w:rPr>
          <w:sz w:val="20"/>
          <w:szCs w:val="20"/>
          <w:color w:val="auto"/>
        </w:rPr>
      </w:pPr>
    </w:p>
    <w:p>
      <w:pPr>
        <w:ind w:right="40" w:firstLine="554"/>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fixed deposits, commercial paper, corporate bonds, asset-backed securities and U.S. government securities which management assesses to be highly liquid. The Company does not hold or issue financial instruments for trading purposes.</w:t>
      </w:r>
    </w:p>
    <w:p>
      <w:pPr>
        <w:spacing w:after="0" w:line="187"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Company performs ongoing credit evaluation of its customers and adjusts credit limits based upon payment history and customers’ credit worthiness. The Company regularly monitors collections and payments from its customers.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During the three months ended April 30, 2025, the Company entered into a Letter of Credit of approximately $0.4 million with a financial institution as collateral for the security deposit on its new office lease located in Santa Clara, California. Refer to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of the Notes to Consolidated Financial Statements for detailed lease information included in the Company’s Annual Report on Form 10-K for the fiscal year ended January 31, 2025 . The Letter of Credit is irrevocable for one year, during which the Company has the obligation to maintain the full amount of the Letter of Credit. The restricted cash also includes those amounts required to be set aside to secure certain transactions in a foreign entity. The following table presents cash, cash equivalents and restricted cash reported on the condensed consolidated balance sheets, and the totals are presented on the condensed consolidated statements of cash flows: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right"/>
              <w:ind w:right="238"/>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ind w:right="161"/>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right"/>
              <w:ind w:right="238"/>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121"/>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1320" w:type="dxa"/>
            <w:vAlign w:val="bottom"/>
            <w:gridSpan w:val="3"/>
          </w:tcPr>
          <w:p>
            <w:pPr>
              <w:jc w:val="right"/>
              <w:ind w:right="738"/>
              <w:spacing w:after="0" w:line="155" w:lineRule="exact"/>
              <w:rPr>
                <w:sz w:val="20"/>
                <w:szCs w:val="20"/>
                <w:color w:val="auto"/>
              </w:rPr>
            </w:pPr>
            <w:r>
              <w:rPr>
                <w:rFonts w:ascii="Times New Roman" w:cs="Times New Roman" w:eastAsia="Times New Roman" w:hAnsi="Times New Roman"/>
                <w:sz w:val="14"/>
                <w:szCs w:val="14"/>
                <w:b w:val="1"/>
                <w:bCs w:val="1"/>
                <w:color w:val="auto"/>
                <w:w w:val="73"/>
              </w:rPr>
              <w:t>thousands)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141,285</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144,622</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131,810</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144,914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680" w:type="dxa"/>
            <w:vAlign w:val="bottom"/>
            <w:shd w:val="clear" w:color="auto" w:fill="CFF0FC"/>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as presented in the condensed consolidated</w:t>
            </w:r>
          </w:p>
        </w:tc>
        <w:tc>
          <w:tcPr>
            <w:tcW w:w="2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141,726</w:t>
            </w:r>
          </w:p>
        </w:tc>
        <w:tc>
          <w:tcPr>
            <w:tcW w:w="3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144,629</w:t>
            </w:r>
          </w:p>
        </w:tc>
        <w:tc>
          <w:tcPr>
            <w:tcW w:w="3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131,817</w:t>
            </w:r>
          </w:p>
        </w:tc>
        <w:tc>
          <w:tcPr>
            <w:tcW w:w="3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144,921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80" w:type="dxa"/>
            <w:vAlign w:val="bottom"/>
            <w:shd w:val="clear" w:color="auto" w:fill="CFF0FC"/>
          </w:tcPr>
          <w:p>
            <w:pPr>
              <w:ind w:left="60"/>
              <w:spacing w:after="0" w:line="194" w:lineRule="exact"/>
              <w:rPr>
                <w:sz w:val="20"/>
                <w:szCs w:val="20"/>
                <w:color w:val="auto"/>
              </w:rPr>
            </w:pPr>
            <w:r>
              <w:rPr>
                <w:rFonts w:ascii="Times New Roman" w:cs="Times New Roman" w:eastAsia="Times New Roman" w:hAnsi="Times New Roman"/>
                <w:sz w:val="18"/>
                <w:szCs w:val="18"/>
                <w:color w:val="auto"/>
              </w:rPr>
              <w:t>statements of cash flows</w:t>
            </w:r>
          </w:p>
        </w:tc>
        <w:tc>
          <w:tcPr>
            <w:tcW w:w="280" w:type="dxa"/>
            <w:vAlign w:val="bottom"/>
            <w:gridSpan w:val="2"/>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320" w:type="dxa"/>
            <w:vAlign w:val="bottom"/>
            <w:gridSpan w:val="2"/>
            <w:vMerge w:val="continue"/>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300" w:type="dxa"/>
            <w:vAlign w:val="bottom"/>
            <w:gridSpan w:val="2"/>
            <w:vMerge w:val="continue"/>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-24765</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 Update (ASU)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740): Improvements to Income Tax Disclosures</w:t>
      </w:r>
      <w:r>
        <w:rPr>
          <w:rFonts w:ascii="Times New Roman" w:cs="Times New Roman" w:eastAsia="Times New Roman" w:hAnsi="Times New Roman"/>
          <w:sz w:val="18"/>
          <w:szCs w:val="18"/>
          <w:color w:val="auto"/>
        </w:rPr>
        <w:t>. This new guidance requires additional disclosures related to effective tax rate reconciliation, disaggregated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 paid and other modified income tax-related disclosures. The ASU shall be applied on a prospective basis with retrospective application permitted, and is effective for annual periods beginning after December 15, 2024. The Company expects to adopt this new guidance for its fiscal period ending January 31, 2026. The Company expects that such adoption will only have an impact on its financial disclosures and does not believe it will have a material impact on its consolidated financial statements.</w:t>
      </w:r>
    </w:p>
    <w:p>
      <w:pPr>
        <w:spacing w:after="0" w:line="18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This new guidance requires public entities to provide disaggregated disclosures,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the financial statements, of certain categories of expenses that are included in expense line items on the face of income statement. The ASU may be applied prospectively or retrospectively and is effective for fiscal years beginning after December 15, 2026 and for interim periods beginning after December 15, 2027. Early adoption is permitted. The Company is currently evaluating the impact of adoption of this new guidance on its consolidated financial statements and disclosures.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Financial Instruments and Fair Value</w:t>
      </w:r>
    </w:p>
    <w:p>
      <w:pPr>
        <w:spacing w:after="0" w:line="121" w:lineRule="exact"/>
        <w:rPr>
          <w:sz w:val="20"/>
          <w:szCs w:val="20"/>
          <w:color w:val="auto"/>
        </w:rPr>
      </w:pPr>
    </w:p>
    <w:p>
      <w:pPr>
        <w:ind w:right="340" w:firstLine="554"/>
        <w:spacing w:after="0" w:line="266" w:lineRule="auto"/>
        <w:rPr>
          <w:sz w:val="20"/>
          <w:szCs w:val="20"/>
          <w:color w:val="auto"/>
        </w:rPr>
      </w:pPr>
      <w:r>
        <w:rPr>
          <w:rFonts w:ascii="Times New Roman" w:cs="Times New Roman" w:eastAsia="Times New Roman" w:hAnsi="Times New Roman"/>
          <w:sz w:val="18"/>
          <w:szCs w:val="18"/>
          <w:color w:val="auto"/>
        </w:rPr>
        <w:t>The Company invests a portion of its cash in money market funds, fixed deposits and marketable debt securities that are denominated in United States dollars. The marketable debt security portfolio consists of corporate bonds, asset-backed securities and U.S. government securities. All of the investments are classified as available-for-sale securities and reported at fair value in the condensed consolidated balance sheets as follows: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 of April 30, 2025</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center"/>
              <w:ind w:right="595"/>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center"/>
              <w:ind w:left="11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Fixed deposits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62,210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34,278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117,965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spacing w:after="0"/>
              <w:rPr>
                <w:sz w:val="17"/>
                <w:szCs w:val="17"/>
                <w:color w:val="auto"/>
              </w:rPr>
            </w:pPr>
          </w:p>
        </w:tc>
        <w:tc>
          <w:tcPr>
            <w:tcW w:w="1020" w:type="dxa"/>
            <w:vAlign w:val="bottom"/>
            <w:gridSpan w:val="2"/>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5"/>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As of January 31, 2025</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center"/>
              <w:ind w:right="595"/>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center"/>
              <w:ind w:left="11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Fixed deposits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30,326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-1567815</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-1567815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-1567815</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-1567815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wp:posOffset>
            </wp:positionV>
            <wp:extent cx="603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60"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breakdown of unrealized losses as of April 30, 2025 and January 31, 2025, respectively, aggregated by investment category and length of time that individual securities have been in a continuous loss position: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As of April 30, 2025</w:t>
            </w: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5"/>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4"/>
          </w:tcPr>
          <w:p>
            <w:pPr>
              <w:jc w:val="center"/>
              <w:ind w:left="197"/>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Greater</w:t>
            </w: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bottom w:val="single" w:sz="8" w:color="auto"/>
            </w:tcBorders>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jc w:val="right"/>
              <w:ind w:right="68"/>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900" w:type="dxa"/>
            <w:vAlign w:val="bottom"/>
            <w:gridSpan w:val="2"/>
          </w:tcPr>
          <w:p>
            <w:pPr>
              <w:jc w:val="right"/>
              <w:ind w:right="268"/>
              <w:spacing w:after="0" w:line="124"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14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19,204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gridSpan w:val="2"/>
            <w:shd w:val="clear" w:color="auto" w:fill="CFF0FC"/>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marketable debt securities at loss</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32,730</w:t>
            </w:r>
          </w:p>
        </w:tc>
        <w:tc>
          <w:tcPr>
            <w:tcW w:w="140" w:type="dxa"/>
            <w:vAlign w:val="bottom"/>
            <w:shd w:val="clear" w:color="auto" w:fill="CFF0FC"/>
          </w:tcPr>
          <w:p>
            <w:pPr>
              <w:spacing w:after="0"/>
              <w:rPr>
                <w:sz w:val="16"/>
                <w:szCs w:val="16"/>
                <w:color w:val="auto"/>
              </w:rPr>
            </w:pPr>
          </w:p>
        </w:tc>
        <w:tc>
          <w:tcPr>
            <w:tcW w:w="2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90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39,982</w:t>
            </w:r>
          </w:p>
        </w:tc>
        <w:tc>
          <w:tcPr>
            <w:tcW w:w="66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4"/>
        </w:trPr>
        <w:tc>
          <w:tcPr>
            <w:tcW w:w="3280" w:type="dxa"/>
            <w:vAlign w:val="bottom"/>
            <w:gridSpan w:val="2"/>
            <w:shd w:val="clear" w:color="auto" w:fill="CFF0FC"/>
          </w:tcPr>
          <w:p>
            <w:pPr>
              <w:ind w:left="60"/>
              <w:spacing w:after="0" w:line="194" w:lineRule="exact"/>
              <w:rPr>
                <w:sz w:val="20"/>
                <w:szCs w:val="20"/>
                <w:color w:val="auto"/>
              </w:rPr>
            </w:pPr>
            <w:r>
              <w:rPr>
                <w:rFonts w:ascii="Times New Roman" w:cs="Times New Roman" w:eastAsia="Times New Roman" w:hAnsi="Times New Roman"/>
                <w:sz w:val="18"/>
                <w:szCs w:val="18"/>
                <w:color w:val="auto"/>
              </w:rPr>
              <w:t>position</w:t>
            </w:r>
          </w:p>
        </w:tc>
        <w:tc>
          <w:tcPr>
            <w:tcW w:w="140" w:type="dxa"/>
            <w:vAlign w:val="bottom"/>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gridSpan w:val="2"/>
            <w:vMerge w:val="continue"/>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960" w:type="dxa"/>
            <w:vAlign w:val="bottom"/>
            <w:gridSpan w:val="2"/>
            <w:vMerge w:val="continue"/>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560" w:type="dxa"/>
            <w:vAlign w:val="bottom"/>
            <w:gridSpan w:val="3"/>
            <w:vMerge w:val="continue"/>
            <w:shd w:val="clear" w:color="auto" w:fill="CFF0FC"/>
          </w:tcPr>
          <w:p>
            <w:pPr>
              <w:spacing w:after="0"/>
              <w:rPr>
                <w:sz w:val="18"/>
                <w:szCs w:val="18"/>
                <w:color w:val="auto"/>
              </w:rPr>
            </w:pPr>
          </w:p>
        </w:tc>
        <w:tc>
          <w:tcPr>
            <w:tcW w:w="280" w:type="dxa"/>
            <w:vAlign w:val="bottom"/>
            <w:gridSpan w:val="2"/>
            <w:vMerge w:val="continue"/>
            <w:shd w:val="clear" w:color="auto" w:fill="CFF0FC"/>
          </w:tcPr>
          <w:p>
            <w:pPr>
              <w:spacing w:after="0"/>
              <w:rPr>
                <w:sz w:val="18"/>
                <w:szCs w:val="18"/>
                <w:color w:val="auto"/>
              </w:rPr>
            </w:pPr>
          </w:p>
        </w:tc>
        <w:tc>
          <w:tcPr>
            <w:tcW w:w="960" w:type="dxa"/>
            <w:vAlign w:val="bottom"/>
            <w:gridSpan w:val="3"/>
            <w:vMerge w:val="continue"/>
            <w:shd w:val="clear" w:color="auto" w:fill="CFF0FC"/>
          </w:tcPr>
          <w:p>
            <w:pPr>
              <w:spacing w:after="0"/>
              <w:rPr>
                <w:sz w:val="18"/>
                <w:szCs w:val="18"/>
                <w:color w:val="auto"/>
              </w:rPr>
            </w:pPr>
          </w:p>
        </w:tc>
        <w:tc>
          <w:tcPr>
            <w:tcW w:w="660" w:type="dxa"/>
            <w:vAlign w:val="bottom"/>
            <w:gridSpan w:val="2"/>
            <w:vMerge w:val="continue"/>
            <w:shd w:val="clear" w:color="auto" w:fill="CFF0FC"/>
          </w:tcPr>
          <w:p>
            <w:pPr>
              <w:spacing w:after="0"/>
              <w:rPr>
                <w:sz w:val="18"/>
                <w:szCs w:val="18"/>
                <w:color w:val="auto"/>
              </w:rPr>
            </w:pPr>
          </w:p>
        </w:tc>
        <w:tc>
          <w:tcPr>
            <w:tcW w:w="8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5"/>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4"/>
          </w:tcPr>
          <w:p>
            <w:pPr>
              <w:jc w:val="center"/>
              <w:ind w:left="197"/>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Greater</w:t>
            </w: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bottom w:val="single" w:sz="8" w:color="auto"/>
            </w:tcBorders>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900" w:type="dxa"/>
            <w:vAlign w:val="bottom"/>
            <w:gridSpan w:val="2"/>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23,200</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9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25,344</w:t>
            </w:r>
          </w:p>
        </w:tc>
        <w:tc>
          <w:tcPr>
            <w:tcW w:w="6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25,189</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170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marketable debt securities at loss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51,632</w:t>
            </w:r>
          </w:p>
        </w:tc>
        <w:tc>
          <w:tcPr>
            <w:tcW w:w="140" w:type="dxa"/>
            <w:vAlign w:val="bottom"/>
          </w:tcPr>
          <w:p>
            <w:pPr>
              <w:spacing w:after="0"/>
              <w:rPr>
                <w:sz w:val="16"/>
                <w:szCs w:val="16"/>
                <w:color w:val="auto"/>
              </w:rPr>
            </w:pP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9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62,928</w:t>
            </w:r>
          </w:p>
        </w:tc>
        <w:tc>
          <w:tcPr>
            <w:tcW w:w="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194"/>
        </w:trPr>
        <w:tc>
          <w:tcPr>
            <w:tcW w:w="328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color w:val="auto"/>
              </w:rPr>
              <w:t>position</w:t>
            </w:r>
          </w:p>
        </w:tc>
        <w:tc>
          <w:tcPr>
            <w:tcW w:w="1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tcBorders>
              <w:bottom w:val="single" w:sz="8" w:color="auto"/>
            </w:tcBorders>
            <w:gridSpan w:val="3"/>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April 30, 2025</w:t>
            </w:r>
          </w:p>
        </w:tc>
        <w:tc>
          <w:tcPr>
            <w:tcW w:w="180" w:type="dxa"/>
            <w:vAlign w:val="bottom"/>
          </w:tcPr>
          <w:p>
            <w:pPr>
              <w:spacing w:after="0"/>
              <w:rPr>
                <w:sz w:val="13"/>
                <w:szCs w:val="13"/>
                <w:color w:val="auto"/>
              </w:rPr>
            </w:pPr>
          </w:p>
        </w:tc>
        <w:tc>
          <w:tcPr>
            <w:tcW w:w="1340" w:type="dxa"/>
            <w:vAlign w:val="bottom"/>
            <w:tcBorders>
              <w:bottom w:val="single" w:sz="8" w:color="auto"/>
            </w:tcBorders>
            <w:gridSpan w:val="5"/>
          </w:tcPr>
          <w:p>
            <w:pPr>
              <w:jc w:val="right"/>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2025</w:t>
            </w:r>
          </w:p>
        </w:tc>
        <w:tc>
          <w:tcPr>
            <w:tcW w:w="28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3"/>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Included in cash equivalents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8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Included in marketable debt securities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118,102</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4240" w:type="dxa"/>
            <w:vAlign w:val="bottom"/>
            <w:gridSpan w:val="8"/>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118,291</w:t>
            </w:r>
          </w:p>
        </w:tc>
        <w:tc>
          <w:tcPr>
            <w:tcW w:w="4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109,492</w:t>
            </w:r>
          </w:p>
        </w:tc>
        <w:tc>
          <w:tcPr>
            <w:tcW w:w="80" w:type="dxa"/>
            <w:vAlign w:val="bottom"/>
            <w:shd w:val="clear" w:color="auto" w:fill="CFF0FC"/>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1700" w:type="dxa"/>
            <w:vAlign w:val="bottom"/>
          </w:tcPr>
          <w:p>
            <w:pPr>
              <w:spacing w:after="0"/>
              <w:rPr>
                <w:sz w:val="24"/>
                <w:szCs w:val="24"/>
                <w:color w:val="auto"/>
              </w:rPr>
            </w:pPr>
          </w:p>
        </w:tc>
        <w:tc>
          <w:tcPr>
            <w:tcW w:w="15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50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-3470910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-3453765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-3470910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-3453765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-3470910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-3453765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-3470910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-3453765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-3470910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-3453765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-3470910</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-3453765</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-2399665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-2399665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-2399665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-2399665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-2399665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-2399665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-933450</wp:posOffset>
            </wp:positionV>
            <wp:extent cx="431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-916305</wp:posOffset>
            </wp:positionV>
            <wp:extent cx="431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-933450</wp:posOffset>
            </wp:positionV>
            <wp:extent cx="431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431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color w:val="auto"/>
        </w:rPr>
        <w:t>The contractual maturities of the investments at April 30, 2025 and January 31, 2025 were as follows: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97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4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59"/>
              <w:spacing w:after="0" w:line="155" w:lineRule="exact"/>
              <w:rPr>
                <w:sz w:val="20"/>
                <w:szCs w:val="20"/>
                <w:color w:val="auto"/>
              </w:rPr>
            </w:pPr>
            <w:r>
              <w:rPr>
                <w:rFonts w:ascii="Times New Roman" w:cs="Times New Roman" w:eastAsia="Times New Roman" w:hAnsi="Times New Roman"/>
                <w:sz w:val="14"/>
                <w:szCs w:val="14"/>
                <w:b w:val="1"/>
                <w:bCs w:val="1"/>
                <w:color w:val="auto"/>
              </w:rPr>
              <w:t>April 30, 2025</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2025</w:t>
            </w:r>
          </w:p>
        </w:tc>
        <w:tc>
          <w:tcPr>
            <w:tcW w:w="80" w:type="dxa"/>
            <w:vAlign w:val="bottom"/>
          </w:tcPr>
          <w:p>
            <w:pPr>
              <w:spacing w:after="0"/>
              <w:rPr>
                <w:sz w:val="13"/>
                <w:szCs w:val="13"/>
                <w:color w:val="auto"/>
              </w:rPr>
            </w:pPr>
          </w:p>
        </w:tc>
      </w:tr>
      <w:tr>
        <w:trPr>
          <w:trHeight w:val="210"/>
        </w:trPr>
        <w:tc>
          <w:tcPr>
            <w:tcW w:w="4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26,378</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35,405</w:t>
            </w:r>
          </w:p>
        </w:tc>
        <w:tc>
          <w:tcPr>
            <w:tcW w:w="80" w:type="dxa"/>
            <w:vAlign w:val="bottom"/>
            <w:shd w:val="clear" w:color="auto" w:fill="CFF0FC"/>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Due in 1 - 5 years</w:t>
            </w: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91,913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74,087</w:t>
            </w:r>
          </w:p>
        </w:tc>
        <w:tc>
          <w:tcPr>
            <w:tcW w:w="80" w:type="dxa"/>
            <w:vAlign w:val="bottom"/>
          </w:tcPr>
          <w:p>
            <w:pPr>
              <w:spacing w:after="0"/>
              <w:rPr>
                <w:sz w:val="18"/>
                <w:szCs w:val="18"/>
                <w:color w:val="auto"/>
              </w:rPr>
            </w:pPr>
          </w:p>
        </w:tc>
      </w:tr>
      <w:tr>
        <w:trPr>
          <w:trHeight w:val="230"/>
        </w:trPr>
        <w:tc>
          <w:tcPr>
            <w:tcW w:w="4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118,291</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109,492</w:t>
            </w:r>
          </w:p>
        </w:tc>
        <w:tc>
          <w:tcPr>
            <w:tcW w:w="80" w:type="dxa"/>
            <w:vAlign w:val="bottom"/>
            <w:shd w:val="clear" w:color="auto" w:fill="CFF0FC"/>
          </w:tcPr>
          <w:p>
            <w:pPr>
              <w:spacing w:after="0"/>
              <w:rPr>
                <w:sz w:val="19"/>
                <w:szCs w:val="19"/>
                <w:color w:val="auto"/>
              </w:rPr>
            </w:pPr>
          </w:p>
        </w:tc>
      </w:tr>
      <w:tr>
        <w:trPr>
          <w:trHeight w:val="20"/>
        </w:trPr>
        <w:tc>
          <w:tcPr>
            <w:tcW w:w="44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431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431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unrealized gains and losses on the available-for-sale securities were primarily caused by fluctuations in market value and interest rates as a result of the economic environment. The Company estimates the expected losses at an individual security level whenever a security’s fair value is below its amortized cost basis using the discounted cash flow method. The credit-related portion of the loss is recognized in other income,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income (loss) in the condensed consolidated balance sheets. The credit-related losses were not material for the three months ended April 30, 2025 and 2024, respectively.</w:t>
      </w:r>
    </w:p>
    <w:p>
      <w:pPr>
        <w:spacing w:after="0" w:line="18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is applied for disclosure of the inputs used to measure fair value. This hierarchy prioritizes the inputs into three broad levels as follows: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11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5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the Company’s own assumptions used to measure assets and liabilities at fair value. The inputs require significant management judgment or estimation.</w:t>
      </w:r>
    </w:p>
    <w:p>
      <w:pPr>
        <w:spacing w:after="0" w:line="16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money market funds and fixed deposits using quoted prices in active markets for identical assets and classifies them within Level 1. The fair value of the Company’s investments in other debt securities are obtained based on quoted prices for similar assets in active markets and are classified within Level 2.</w:t>
      </w:r>
    </w:p>
    <w:p>
      <w:pPr>
        <w:spacing w:after="0" w:line="17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the financial instruments measured on a recurring basis as of April 30, 2025 and January 31, 2025,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As of April 30, 2025</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center"/>
              <w:ind w:right="593"/>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20" w:type="dxa"/>
            <w:vAlign w:val="bottom"/>
            <w:gridSpan w:val="2"/>
            <w:shd w:val="clear" w:color="auto" w:fill="CFF0FC"/>
          </w:tcPr>
          <w:p>
            <w:pPr>
              <w:jc w:val="center"/>
              <w:ind w:lef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Fixed deposits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62,443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62,443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7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34,371</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34,371</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118,291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20" w:type="dxa"/>
            <w:vAlign w:val="bottom"/>
            <w:gridSpan w:val="2"/>
          </w:tcPr>
          <w:p>
            <w:pPr>
              <w:jc w:val="center"/>
              <w:ind w:lef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118,102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44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spacing w:after="0"/>
              <w:rPr>
                <w:sz w:val="17"/>
                <w:szCs w:val="17"/>
                <w:color w:val="auto"/>
              </w:rPr>
            </w:pPr>
          </w:p>
        </w:tc>
        <w:tc>
          <w:tcPr>
            <w:tcW w:w="1020" w:type="dxa"/>
            <w:vAlign w:val="bottom"/>
            <w:gridSpan w:val="2"/>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center"/>
              <w:ind w:right="593"/>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420" w:type="dxa"/>
            <w:vAlign w:val="bottom"/>
            <w:gridSpan w:val="2"/>
            <w:shd w:val="clear" w:color="auto" w:fill="CFF0FC"/>
          </w:tcPr>
          <w:p>
            <w:pPr>
              <w:jc w:val="center"/>
              <w:ind w:lef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Fixed deposits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55,126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55,126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7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30,152</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30,152</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109,492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420" w:type="dxa"/>
            <w:vAlign w:val="bottom"/>
            <w:gridSpan w:val="2"/>
          </w:tcPr>
          <w:p>
            <w:pPr>
              <w:jc w:val="center"/>
              <w:ind w:lef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105,643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5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-2536825</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-2536825</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-2536825</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-2536825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-1207770</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-1207770</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-1207770</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-1207770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at April 30, 2025 and January 31, 2025 consisted of the following:</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6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April 30, 2025</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15"/>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2025</w:t>
            </w:r>
          </w:p>
        </w:tc>
        <w:tc>
          <w:tcPr>
            <w:tcW w:w="80" w:type="dxa"/>
            <w:vAlign w:val="bottom"/>
          </w:tcPr>
          <w:p>
            <w:pPr>
              <w:spacing w:after="0"/>
              <w:rPr>
                <w:sz w:val="13"/>
                <w:szCs w:val="13"/>
                <w:color w:val="auto"/>
              </w:rPr>
            </w:pPr>
          </w:p>
        </w:tc>
      </w:tr>
      <w:tr>
        <w:trPr>
          <w:trHeight w:val="142"/>
        </w:trPr>
        <w:tc>
          <w:tcPr>
            <w:tcW w:w="4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left="65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640" w:type="dxa"/>
            <w:vAlign w:val="bottom"/>
            <w:gridSpan w:val="3"/>
          </w:tcPr>
          <w:p>
            <w:pPr>
              <w:jc w:val="right"/>
              <w:ind w:right="1035"/>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80" w:type="dxa"/>
            <w:vAlign w:val="bottom"/>
          </w:tcPr>
          <w:p>
            <w:pPr>
              <w:spacing w:after="0"/>
              <w:rPr>
                <w:sz w:val="12"/>
                <w:szCs w:val="12"/>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center"/>
              <w:ind w:left="679"/>
              <w:spacing w:after="0"/>
              <w:rPr>
                <w:sz w:val="20"/>
                <w:szCs w:val="20"/>
                <w:color w:val="auto"/>
              </w:rPr>
            </w:pPr>
            <w:r>
              <w:rPr>
                <w:rFonts w:ascii="Times New Roman" w:cs="Times New Roman" w:eastAsia="Times New Roman" w:hAnsi="Times New Roman"/>
                <w:sz w:val="18"/>
                <w:szCs w:val="18"/>
                <w:color w:val="auto"/>
                <w:w w:val="96"/>
              </w:rPr>
              <w:t>24,300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20,546</w:t>
            </w:r>
          </w:p>
        </w:tc>
        <w:tc>
          <w:tcPr>
            <w:tcW w:w="8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left="679"/>
              <w:spacing w:after="0"/>
              <w:rPr>
                <w:sz w:val="20"/>
                <w:szCs w:val="20"/>
                <w:color w:val="auto"/>
              </w:rPr>
            </w:pPr>
            <w:r>
              <w:rPr>
                <w:rFonts w:ascii="Times New Roman" w:cs="Times New Roman" w:eastAsia="Times New Roman" w:hAnsi="Times New Roman"/>
                <w:sz w:val="18"/>
                <w:szCs w:val="18"/>
                <w:color w:val="auto"/>
                <w:w w:val="96"/>
              </w:rPr>
              <w:t>14,989</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13,882</w:t>
            </w:r>
          </w:p>
        </w:tc>
        <w:tc>
          <w:tcPr>
            <w:tcW w:w="80" w:type="dxa"/>
            <w:vAlign w:val="bottom"/>
          </w:tcPr>
          <w:p>
            <w:pPr>
              <w:spacing w:after="0"/>
              <w:rPr>
                <w:sz w:val="18"/>
                <w:szCs w:val="18"/>
                <w:color w:val="auto"/>
              </w:rPr>
            </w:pPr>
          </w:p>
        </w:tc>
      </w:tr>
      <w:tr>
        <w:trPr>
          <w:trHeight w:val="249"/>
        </w:trPr>
        <w:tc>
          <w:tcPr>
            <w:tcW w:w="46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center"/>
              <w:ind w:left="679"/>
              <w:spacing w:after="0"/>
              <w:rPr>
                <w:sz w:val="20"/>
                <w:szCs w:val="20"/>
                <w:color w:val="auto"/>
              </w:rPr>
            </w:pPr>
            <w:r>
              <w:rPr>
                <w:rFonts w:ascii="Times New Roman" w:cs="Times New Roman" w:eastAsia="Times New Roman" w:hAnsi="Times New Roman"/>
                <w:sz w:val="18"/>
                <w:szCs w:val="18"/>
                <w:color w:val="auto"/>
                <w:w w:val="96"/>
              </w:rPr>
              <w:t>39,289</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-25400</wp:posOffset>
            </wp:positionV>
            <wp:extent cx="431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431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was approximately $1.1 million and $1.2 million for the three months ended April 30, 2025 and 2024, respectively. Property and equipment at April 30, 2025 and January 31, 2025 consisted of the following:</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8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April 30, 2025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2025</w:t>
            </w:r>
          </w:p>
        </w:tc>
        <w:tc>
          <w:tcPr>
            <w:tcW w:w="80" w:type="dxa"/>
            <w:vAlign w:val="bottom"/>
          </w:tcPr>
          <w:p>
            <w:pPr>
              <w:spacing w:after="0"/>
              <w:rPr>
                <w:sz w:val="13"/>
                <w:szCs w:val="13"/>
                <w:color w:val="auto"/>
              </w:rPr>
            </w:pPr>
          </w:p>
        </w:tc>
      </w:tr>
      <w:tr>
        <w:trPr>
          <w:trHeight w:val="142"/>
        </w:trPr>
        <w:tc>
          <w:tcPr>
            <w:tcW w:w="4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40" w:type="dxa"/>
            <w:vAlign w:val="bottom"/>
            <w:gridSpan w:val="4"/>
          </w:tcPr>
          <w:p>
            <w:pPr>
              <w:jc w:val="right"/>
              <w:ind w:right="932"/>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80" w:type="dxa"/>
            <w:vAlign w:val="bottom"/>
          </w:tcPr>
          <w:p>
            <w:pPr>
              <w:spacing w:after="0"/>
              <w:rPr>
                <w:sz w:val="12"/>
                <w:szCs w:val="12"/>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27,420</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25,730</w:t>
            </w:r>
          </w:p>
        </w:tc>
        <w:tc>
          <w:tcPr>
            <w:tcW w:w="8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Tools and equipment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8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8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80" w:type="dxa"/>
            <w:vAlign w:val="bottom"/>
          </w:tcPr>
          <w:p>
            <w:pPr>
              <w:spacing w:after="0"/>
              <w:rPr>
                <w:sz w:val="18"/>
                <w:szCs w:val="18"/>
                <w:color w:val="auto"/>
              </w:rPr>
            </w:pPr>
          </w:p>
        </w:tc>
      </w:tr>
      <w:tr>
        <w:trPr>
          <w:trHeight w:val="216"/>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39,493</w:t>
            </w:r>
          </w:p>
        </w:tc>
        <w:tc>
          <w:tcPr>
            <w:tcW w:w="8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(31,508)</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(30,409)</w:t>
            </w:r>
          </w:p>
        </w:tc>
      </w:tr>
      <w:tr>
        <w:trPr>
          <w:trHeight w:val="210"/>
        </w:trPr>
        <w:tc>
          <w:tcPr>
            <w:tcW w:w="488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10,248</w:t>
            </w:r>
          </w:p>
        </w:tc>
        <w:tc>
          <w:tcPr>
            <w:tcW w:w="12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80" w:type="dxa"/>
            <w:vAlign w:val="bottom"/>
            <w:tcBorders>
              <w:top w:val="single" w:sz="8" w:color="CFF0FC"/>
            </w:tcBorders>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-453390</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-453390</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-170815</wp:posOffset>
            </wp:positionV>
            <wp:extent cx="51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 Net</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tangible and identifiable intangible assets acquired in a business combination.</w:t>
      </w:r>
    </w:p>
    <w:p>
      <w:pPr>
        <w:spacing w:after="0" w:line="5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Intangible assets primarily consist of software licenses as well as developed technology, customer relationships and trade name that were acquired from business combinations.</w:t>
      </w:r>
    </w:p>
    <w:p>
      <w:pPr>
        <w:spacing w:after="0" w:line="54"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Company enters into certain software license agreements with third parties from time-to-time. The software licenses consist of noncancelable on-premise internal-use software and software with alternative use that is to be sold, leased or otherwise marketed as part of a product. The licenses have been capitalized as intangible assets, and the corresponding future payments have been recorded as liabilities at net present value. As of April 30, 2025, software license liabilities of approximately $6.1 million were recorded in accrued and other current liabilities and approximately $0.4 million were recorded in other long-term liabilities in the condensed consolidated balance sheets.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intangible assets as of April 30, 2025 and January 31, 2025 were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As of April 30, 2025</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21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95"/>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1080" w:type="dxa"/>
            <w:vAlign w:val="bottom"/>
            <w:gridSpan w:val="3"/>
          </w:tcPr>
          <w:p>
            <w:pPr>
              <w:jc w:val="right"/>
              <w:ind w:right="479"/>
              <w:spacing w:after="0" w:line="155"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licenses</w:t>
            </w: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47,254</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(22,130)</w:t>
            </w:r>
          </w:p>
        </w:tc>
        <w:tc>
          <w:tcPr>
            <w:tcW w:w="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25,124</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45,051</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(18,755)</w:t>
            </w:r>
          </w:p>
        </w:tc>
        <w:tc>
          <w:tcPr>
            <w:tcW w:w="2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26,296</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(10,746)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(5,133)</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(4,767)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8,433</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40" w:type="dxa"/>
            <w:vAlign w:val="bottom"/>
          </w:tcPr>
          <w:p>
            <w:pPr>
              <w:spacing w:after="0"/>
              <w:rPr>
                <w:sz w:val="21"/>
                <w:szCs w:val="21"/>
                <w:color w:val="auto"/>
              </w:rPr>
            </w:pPr>
          </w:p>
        </w:tc>
        <w:tc>
          <w:tcPr>
            <w:tcW w:w="2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84,154</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(39,259)</w:t>
            </w:r>
          </w:p>
        </w:tc>
        <w:tc>
          <w:tcPr>
            <w:tcW w:w="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44,895</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81,951</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(34,672)</w:t>
            </w:r>
          </w:p>
        </w:tc>
        <w:tc>
          <w:tcPr>
            <w:tcW w:w="2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47,279</w:t>
            </w:r>
          </w:p>
        </w:tc>
        <w:tc>
          <w:tcPr>
            <w:tcW w:w="10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1140" w:type="dxa"/>
            <w:vAlign w:val="bottom"/>
          </w:tcPr>
          <w:p>
            <w:pPr>
              <w:spacing w:after="0"/>
              <w:rPr>
                <w:sz w:val="24"/>
                <w:szCs w:val="24"/>
                <w:color w:val="auto"/>
              </w:rPr>
            </w:pPr>
          </w:p>
        </w:tc>
        <w:tc>
          <w:tcPr>
            <w:tcW w:w="2300" w:type="dxa"/>
            <w:vAlign w:val="bottom"/>
            <w:tcBorders>
              <w:top w:val="single" w:sz="8" w:color="CFF0FC"/>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-933450</wp:posOffset>
            </wp:positionV>
            <wp:extent cx="514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-916305</wp:posOffset>
            </wp:positionV>
            <wp:extent cx="514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-933450</wp:posOffset>
            </wp:positionV>
            <wp:extent cx="514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-916305</wp:posOffset>
            </wp:positionV>
            <wp:extent cx="51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-933450</wp:posOffset>
            </wp:positionV>
            <wp:extent cx="51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-916305</wp:posOffset>
            </wp:positionV>
            <wp:extent cx="51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-933450</wp:posOffset>
            </wp:positionV>
            <wp:extent cx="51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-916305</wp:posOffset>
            </wp:positionV>
            <wp:extent cx="514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-933450</wp:posOffset>
            </wp:positionV>
            <wp:extent cx="514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-916305</wp:posOffset>
            </wp:positionV>
            <wp:extent cx="514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-933450</wp:posOffset>
            </wp:positionV>
            <wp:extent cx="596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-916305</wp:posOffset>
            </wp:positionV>
            <wp:extent cx="596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the three months ended April 30, 2025, there were approximately $2.5 million of software licenses purchased and approximately $0.3 million of software licenses retired. The amortization expense associated with software licenses was approximately $3.5 million and $3.0 million for the three months ended April 30, 2025 and 2024, respectively. The amortization expense associated with acquisition-related intangible assets, including developed technology, customer relationships and trade name, was approximately $1.2 million and $1.2 million for the three months ended April 30, 2025 and 2024, respectively. As of April 30, 2025, the Company has not commenced amortization with respect to approximately $5.7 million of software licenses with alternative uses that are to be sold, leased or otherwise marketed as part of products. Once the associated products are available for general release to customers, the Company will commence amortization on a product-by-product basis over the remaining estimated economic life of the products. The expected future amortization expense related to the intangible assets as of April 30, 2025 is as follows:</w:t>
      </w:r>
    </w:p>
    <w:p>
      <w:pPr>
        <w:spacing w:after="0" w:line="3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73"/>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380" w:type="dxa"/>
            <w:vAlign w:val="bottom"/>
            <w:vMerge w:val="restart"/>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0" w:type="dxa"/>
            <w:vAlign w:val="bottom"/>
          </w:tcPr>
          <w:p>
            <w:pPr>
              <w:spacing w:after="0"/>
              <w:rPr>
                <w:sz w:val="1"/>
                <w:szCs w:val="1"/>
                <w:color w:val="auto"/>
              </w:rPr>
            </w:pPr>
          </w:p>
        </w:tc>
      </w:tr>
      <w:tr>
        <w:trPr>
          <w:trHeight w:val="134"/>
        </w:trPr>
        <w:tc>
          <w:tcPr>
            <w:tcW w:w="700" w:type="dxa"/>
            <w:vAlign w:val="bottom"/>
            <w:tcBorders>
              <w:bottom w:val="single" w:sz="8" w:color="auto"/>
            </w:tcBorders>
            <w:vMerge w:val="continue"/>
          </w:tcPr>
          <w:p>
            <w:pPr>
              <w:spacing w:after="0"/>
              <w:rPr>
                <w:sz w:val="11"/>
                <w:szCs w:val="11"/>
                <w:color w:val="auto"/>
              </w:rPr>
            </w:pPr>
          </w:p>
        </w:tc>
        <w:tc>
          <w:tcPr>
            <w:tcW w:w="4380" w:type="dxa"/>
            <w:vAlign w:val="bottom"/>
            <w:vMerge w:val="continue"/>
          </w:tcPr>
          <w:p>
            <w:pPr>
              <w:spacing w:after="0"/>
              <w:rPr>
                <w:sz w:val="11"/>
                <w:szCs w:val="11"/>
                <w:color w:val="auto"/>
              </w:rPr>
            </w:pPr>
          </w:p>
        </w:tc>
        <w:tc>
          <w:tcPr>
            <w:tcW w:w="22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3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0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2026 (9 months remaining)</w:t>
            </w:r>
          </w:p>
        </w:tc>
        <w:tc>
          <w:tcPr>
            <w:tcW w:w="2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4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2028</w:t>
            </w:r>
          </w:p>
        </w:tc>
        <w:tc>
          <w:tcPr>
            <w:tcW w:w="438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2029</w:t>
            </w:r>
          </w:p>
        </w:tc>
        <w:tc>
          <w:tcPr>
            <w:tcW w:w="4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2030</w:t>
            </w:r>
          </w:p>
        </w:tc>
        <w:tc>
          <w:tcPr>
            <w:tcW w:w="438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2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future amortization expenses:</w:t>
            </w:r>
          </w:p>
        </w:tc>
        <w:tc>
          <w:tcPr>
            <w:tcW w:w="2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FF0FC"/>
            </w:tcBorders>
            <w:shd w:val="clear" w:color="auto" w:fill="CFF0FC"/>
          </w:tcPr>
          <w:p>
            <w:pPr>
              <w:spacing w:after="0" w:line="20" w:lineRule="exact"/>
              <w:rPr>
                <w:sz w:val="1"/>
                <w:szCs w:val="1"/>
                <w:color w:val="auto"/>
              </w:rPr>
            </w:pPr>
          </w:p>
        </w:tc>
        <w:tc>
          <w:tcPr>
            <w:tcW w:w="4380" w:type="dxa"/>
            <w:vAlign w:val="bottom"/>
            <w:tcBorders>
              <w:top w:val="single" w:sz="8" w:color="CFF0FC"/>
            </w:tcBorders>
            <w:shd w:val="clear" w:color="auto" w:fill="CFF0FC"/>
          </w:tcPr>
          <w:p>
            <w:pPr>
              <w:spacing w:after="0" w:line="20" w:lineRule="exact"/>
              <w:rPr>
                <w:sz w:val="1"/>
                <w:szCs w:val="1"/>
                <w:color w:val="auto"/>
              </w:rPr>
            </w:pPr>
          </w:p>
        </w:tc>
        <w:tc>
          <w:tcPr>
            <w:tcW w:w="2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Goodwill and intangible assets are tested for impairment at least annually, in the fourth fiscal quarter, or more frequently if events or changes in circumstances indicate that they may be impaired. There were no goodwill and intangible asset impairments for the three months ended April 30, 2025 and 2024, respectively.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at April 30, 2025 and January 31, 2025 consisted of the following:</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49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56"/>
              <w:spacing w:after="0" w:line="155" w:lineRule="exact"/>
              <w:rPr>
                <w:sz w:val="20"/>
                <w:szCs w:val="20"/>
                <w:color w:val="auto"/>
              </w:rPr>
            </w:pPr>
            <w:r>
              <w:rPr>
                <w:rFonts w:ascii="Times New Roman" w:cs="Times New Roman" w:eastAsia="Times New Roman" w:hAnsi="Times New Roman"/>
                <w:sz w:val="14"/>
                <w:szCs w:val="14"/>
                <w:b w:val="1"/>
                <w:bCs w:val="1"/>
                <w:color w:val="auto"/>
              </w:rPr>
              <w:t>April 30, 2025</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2025</w:t>
            </w:r>
          </w:p>
        </w:tc>
        <w:tc>
          <w:tcPr>
            <w:tcW w:w="80" w:type="dxa"/>
            <w:vAlign w:val="bottom"/>
          </w:tcPr>
          <w:p>
            <w:pPr>
              <w:spacing w:after="0"/>
              <w:rPr>
                <w:sz w:val="13"/>
                <w:szCs w:val="13"/>
                <w:color w:val="auto"/>
              </w:rPr>
            </w:pPr>
          </w:p>
        </w:tc>
      </w:tr>
      <w:tr>
        <w:trPr>
          <w:trHeight w:val="142"/>
        </w:trPr>
        <w:tc>
          <w:tcPr>
            <w:tcW w:w="4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20" w:type="dxa"/>
            <w:vAlign w:val="bottom"/>
            <w:gridSpan w:val="3"/>
          </w:tcPr>
          <w:p>
            <w:pPr>
              <w:jc w:val="right"/>
              <w:ind w:right="913"/>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80" w:type="dxa"/>
            <w:vAlign w:val="bottom"/>
          </w:tcPr>
          <w:p>
            <w:pPr>
              <w:spacing w:after="0"/>
              <w:rPr>
                <w:sz w:val="12"/>
                <w:szCs w:val="12"/>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22,941</w:t>
            </w:r>
          </w:p>
        </w:tc>
        <w:tc>
          <w:tcPr>
            <w:tcW w:w="8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Accrued product development costs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32,929</w:t>
            </w:r>
          </w:p>
        </w:tc>
        <w:tc>
          <w:tcPr>
            <w:tcW w:w="8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current</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8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deposit liability</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80" w:type="dxa"/>
            <w:vAlign w:val="bottom"/>
          </w:tcPr>
          <w:p>
            <w:pPr>
              <w:spacing w:after="0"/>
              <w:rPr>
                <w:sz w:val="18"/>
                <w:szCs w:val="18"/>
                <w:color w:val="auto"/>
              </w:rPr>
            </w:pPr>
          </w:p>
        </w:tc>
      </w:tr>
      <w:tr>
        <w:trPr>
          <w:trHeight w:val="216"/>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73,479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80,781</w:t>
            </w:r>
          </w:p>
        </w:tc>
        <w:tc>
          <w:tcPr>
            <w:tcW w:w="8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-170815</wp:posOffset>
            </wp:positionV>
            <wp:extent cx="431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18"/>
          <w:szCs w:val="18"/>
          <w:color w:val="auto"/>
        </w:rPr>
        <w:t>The accrued employee compensation primarily consists of accrued payroll and accrued employee benefits, as well as employee stock purchase plan withholding. For the three months ended April 30, 2025, approximately $9.8 million of annual bonus was paid, of which $3.7 million was paid in cash and $6.1 million was settled with fully vested restricted stock units. The $13.5 million of development deposit liability represents a cash advance from a customer for funding a development project that is subject to certain refund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right="80" w:firstLine="469"/>
        <w:spacing w:after="0" w:line="266" w:lineRule="auto"/>
        <w:rPr>
          <w:sz w:val="20"/>
          <w:szCs w:val="20"/>
          <w:color w:val="auto"/>
        </w:rPr>
      </w:pPr>
      <w:r>
        <w:rPr>
          <w:rFonts w:ascii="Times New Roman" w:cs="Times New Roman" w:eastAsia="Times New Roman" w:hAnsi="Times New Roman"/>
          <w:sz w:val="18"/>
          <w:szCs w:val="18"/>
          <w:color w:val="auto"/>
        </w:rPr>
        <w:t>There were no material lease agreements entered into, or modified, during the three months ended April 30, 2025. The operating lease expense was approximately $0.9 million and $1.0 million for the three months ended April 30, 2025 and 2024, respectively. The Company's short-term leases and finance leases were not material as of April 30, 2025 and January 31, 2025, respectively.</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the operating leases is as follows: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13" w:name="page14"/>
    <w:bookmarkEnd w:id="13"/>
    <w:tbl>
      <w:tblPr>
        <w:tblLayout w:type="fixed"/>
        <w:tblInd w:w="114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00" w:type="dxa"/>
            <w:vAlign w:val="bottom"/>
            <w:gridSpan w:val="2"/>
          </w:tcPr>
          <w:p>
            <w:pPr>
              <w:jc w:val="center"/>
              <w:ind w:right="528"/>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operating leases included in operating cash flows</w:t>
            </w:r>
          </w:p>
        </w:tc>
        <w:tc>
          <w:tcPr>
            <w:tcW w:w="160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100" w:type="dxa"/>
            <w:vAlign w:val="bottom"/>
            <w:gridSpan w:val="2"/>
            <w:shd w:val="clear" w:color="auto" w:fill="CFF0FC"/>
          </w:tcPr>
          <w:p>
            <w:pPr>
              <w:jc w:val="center"/>
              <w:ind w:right="5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FF0FC"/>
          </w:tcPr>
          <w:p>
            <w:pPr>
              <w:spacing w:after="0"/>
              <w:rPr>
                <w:sz w:val="18"/>
                <w:szCs w:val="18"/>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 obtained in exchange for lease obligations</w:t>
            </w:r>
          </w:p>
        </w:tc>
        <w:tc>
          <w:tcPr>
            <w:tcW w:w="160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100" w:type="dxa"/>
            <w:vAlign w:val="bottom"/>
            <w:gridSpan w:val="2"/>
          </w:tcPr>
          <w:p>
            <w:pPr>
              <w:jc w:val="center"/>
              <w:ind w:right="5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As of April 30, 2025, the weighted average remaining lease term is 2.12 years, and the weighted average discount rate is 3.38 percent. Future minimum lease payments for the lease liabilities are as follows: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320" w:type="dxa"/>
            <w:vAlign w:val="bottom"/>
            <w:gridSpan w:val="2"/>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120" w:type="dxa"/>
            <w:vAlign w:val="bottom"/>
            <w:vMerge w:val="restart"/>
          </w:tcPr>
          <w:p>
            <w:pPr>
              <w:spacing w:after="0"/>
              <w:rPr>
                <w:sz w:val="15"/>
                <w:szCs w:val="15"/>
                <w:color w:val="auto"/>
              </w:rPr>
            </w:pPr>
          </w:p>
        </w:tc>
        <w:tc>
          <w:tcPr>
            <w:tcW w:w="1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2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0" w:type="dxa"/>
            <w:vAlign w:val="bottom"/>
          </w:tcPr>
          <w:p>
            <w:pPr>
              <w:spacing w:after="0"/>
              <w:rPr>
                <w:sz w:val="1"/>
                <w:szCs w:val="1"/>
                <w:color w:val="auto"/>
              </w:rPr>
            </w:pPr>
          </w:p>
        </w:tc>
      </w:tr>
      <w:tr>
        <w:trPr>
          <w:trHeight w:val="133"/>
        </w:trPr>
        <w:tc>
          <w:tcPr>
            <w:tcW w:w="700" w:type="dxa"/>
            <w:vAlign w:val="bottom"/>
            <w:tcBorders>
              <w:bottom w:val="single" w:sz="8" w:color="auto"/>
            </w:tcBorders>
            <w:vMerge w:val="continue"/>
          </w:tcPr>
          <w:p>
            <w:pPr>
              <w:spacing w:after="0"/>
              <w:rPr>
                <w:sz w:val="11"/>
                <w:szCs w:val="11"/>
                <w:color w:val="auto"/>
              </w:rPr>
            </w:pPr>
          </w:p>
        </w:tc>
        <w:tc>
          <w:tcPr>
            <w:tcW w:w="412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40" w:type="dxa"/>
            <w:vAlign w:val="bottom"/>
            <w:tcBorders>
              <w:top w:val="single" w:sz="8" w:color="auto"/>
            </w:tcBorders>
          </w:tcPr>
          <w:p>
            <w:pPr>
              <w:jc w:val="right"/>
              <w:ind w:right="85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8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2026 (9 months remaining)</w:t>
            </w:r>
          </w:p>
        </w:tc>
        <w:tc>
          <w:tcPr>
            <w:tcW w:w="18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4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4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4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2030</w:t>
            </w:r>
          </w:p>
        </w:tc>
        <w:tc>
          <w:tcPr>
            <w:tcW w:w="4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Thereafter</w:t>
            </w:r>
          </w:p>
        </w:tc>
        <w:tc>
          <w:tcPr>
            <w:tcW w:w="13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future annual minimum lease payments</w:t>
            </w:r>
          </w:p>
        </w:tc>
        <w:tc>
          <w:tcPr>
            <w:tcW w:w="1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interest</w:t>
            </w: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8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FF0FC"/>
            </w:tcBorders>
            <w:shd w:val="clear" w:color="auto" w:fill="CFF0FC"/>
          </w:tcPr>
          <w:p>
            <w:pPr>
              <w:spacing w:after="0" w:line="20" w:lineRule="exact"/>
              <w:rPr>
                <w:sz w:val="1"/>
                <w:szCs w:val="1"/>
                <w:color w:val="auto"/>
              </w:rPr>
            </w:pPr>
          </w:p>
        </w:tc>
        <w:tc>
          <w:tcPr>
            <w:tcW w:w="41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Deferred Revenue</w:t>
      </w:r>
    </w:p>
    <w:p>
      <w:pPr>
        <w:spacing w:after="0" w:line="22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Deferred revenue is primarily related to nonrecurring engineering (NRE) charges that are either invoiced or paid but for which the related performance obligations are not yet satisfied, as well as, for product shipments, a portion of a transaction price that exceeds the weighted average selling price for products sold to date under tiered-pricing contracts that contain material rights. During the three months ended April 30, 2025 and 2024, the amount recognized as revenue that was included in the deferred revenue balance at the end of prior fiscal year was approximately $5.2 million and $0.4 million, respectively.</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April 30, 2025, the amount of remaining unsatisfied performance obligations on contracts, primarily consisting of NRE project service agreements and product purchase orders with original contract duration of more than one year, was approximately $50.1 million, of which approximately 92% is expected to be recognized within the next 12 months. This does not include amounts from contracts that have an original expected contract duration of one year or less.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Long-Term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at April 30, 2025 and January 31, 2025 consisted of the following:</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4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57"/>
              <w:spacing w:after="0" w:line="155" w:lineRule="exact"/>
              <w:rPr>
                <w:sz w:val="20"/>
                <w:szCs w:val="20"/>
                <w:color w:val="auto"/>
              </w:rPr>
            </w:pPr>
            <w:r>
              <w:rPr>
                <w:rFonts w:ascii="Times New Roman" w:cs="Times New Roman" w:eastAsia="Times New Roman" w:hAnsi="Times New Roman"/>
                <w:sz w:val="14"/>
                <w:szCs w:val="14"/>
                <w:b w:val="1"/>
                <w:bCs w:val="1"/>
                <w:color w:val="auto"/>
              </w:rPr>
              <w:t>April 30, 2025</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2025</w:t>
            </w:r>
          </w:p>
        </w:tc>
        <w:tc>
          <w:tcPr>
            <w:tcW w:w="80" w:type="dxa"/>
            <w:vAlign w:val="bottom"/>
          </w:tcPr>
          <w:p>
            <w:pPr>
              <w:spacing w:after="0"/>
              <w:rPr>
                <w:sz w:val="13"/>
                <w:szCs w:val="13"/>
                <w:color w:val="auto"/>
              </w:rPr>
            </w:pPr>
          </w:p>
        </w:tc>
      </w:tr>
      <w:tr>
        <w:trPr>
          <w:trHeight w:val="142"/>
        </w:trPr>
        <w:tc>
          <w:tcPr>
            <w:tcW w:w="4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20" w:type="dxa"/>
            <w:vAlign w:val="bottom"/>
            <w:gridSpan w:val="3"/>
          </w:tcPr>
          <w:p>
            <w:pPr>
              <w:jc w:val="right"/>
              <w:ind w:right="913"/>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80" w:type="dxa"/>
            <w:vAlign w:val="bottom"/>
          </w:tcPr>
          <w:p>
            <w:pPr>
              <w:spacing w:after="0"/>
              <w:rPr>
                <w:sz w:val="12"/>
                <w:szCs w:val="12"/>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including interest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80" w:type="dxa"/>
            <w:vAlign w:val="bottom"/>
            <w:shd w:val="clear" w:color="auto" w:fill="CFF0FC"/>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tcPr>
          <w:p>
            <w:pPr>
              <w:spacing w:after="0"/>
              <w:rPr>
                <w:sz w:val="18"/>
                <w:szCs w:val="18"/>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non-current</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80" w:type="dxa"/>
            <w:vAlign w:val="bottom"/>
            <w:shd w:val="clear" w:color="auto" w:fill="CFF0FC"/>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r>
      <w:tr>
        <w:trPr>
          <w:trHeight w:val="230"/>
        </w:trPr>
        <w:tc>
          <w:tcPr>
            <w:tcW w:w="4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80" w:type="dxa"/>
            <w:vAlign w:val="bottom"/>
            <w:shd w:val="clear" w:color="auto" w:fill="CFF0FC"/>
          </w:tcPr>
          <w:p>
            <w:pPr>
              <w:spacing w:after="0"/>
              <w:rPr>
                <w:sz w:val="19"/>
                <w:szCs w:val="19"/>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431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63" w:lineRule="exact"/>
        <w:rPr>
          <w:sz w:val="20"/>
          <w:szCs w:val="20"/>
          <w:color w:val="auto"/>
        </w:rPr>
      </w:pPr>
    </w:p>
    <w:p>
      <w:pPr>
        <w:ind w:left="520" w:right="9340" w:hanging="512"/>
        <w:spacing w:after="0" w:line="378" w:lineRule="auto"/>
        <w:tabs>
          <w:tab w:leader="none" w:pos="281"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Stock </w:t>
      </w:r>
      <w:r>
        <w:rPr>
          <w:rFonts w:ascii="Times New Roman" w:cs="Times New Roman" w:eastAsia="Times New Roman" w:hAnsi="Times New Roman"/>
          <w:sz w:val="18"/>
          <w:szCs w:val="18"/>
          <w:b w:val="1"/>
          <w:bCs w:val="1"/>
          <w:i w:val="1"/>
          <w:iCs w:val="1"/>
          <w:color w:val="auto"/>
        </w:rPr>
        <w:t>Preference shares</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no preference shares issued and outstanding as of April 30, 2025 and January 31, 2025, respectively.</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9" w:right="37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21"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In the first quarter of fiscal year 2026, the Company added 524,549 shares to the ordinary shares reserved for issuance, pursuant to an “evergreen” provision contained in the Amended and Restated 2012 Employee Stock Purchase Plan, or ESPP. Pursuant to such provision, for each fiscal year, the number of ordinary shares reserved for issuance under the ESPP is automatically increased by a number equal to the lesser of (i) 1,500,000 ordinary shares,</w:t>
      </w:r>
    </w:p>
    <w:p>
      <w:pPr>
        <w:spacing w:after="0" w:line="2" w:lineRule="exact"/>
        <w:rPr>
          <w:sz w:val="20"/>
          <w:szCs w:val="20"/>
          <w:color w:val="auto"/>
        </w:rPr>
      </w:pPr>
    </w:p>
    <w:p>
      <w:pPr>
        <w:ind w:right="380" w:firstLine="8"/>
        <w:spacing w:after="0" w:line="260"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and one quarter percent (1.25%) of the aggregate number of ordinary shares outstanding on February 1st of each fiscal year, or (iii) an amount determined by the Company’s Board of Directors or a duly authorized committee of the Board of Directors.</w:t>
      </w:r>
    </w:p>
    <w:p>
      <w:pPr>
        <w:spacing w:after="0" w:line="7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April 30, 2025 and January 31, 2025, the following ordinary shares were reserved for future issuance under the Company’s equity plans and employee stock purchase plan:</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64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880" w:type="dxa"/>
            <w:vAlign w:val="bottom"/>
          </w:tcPr>
          <w:p>
            <w:pPr>
              <w:spacing w:after="0"/>
              <w:rPr>
                <w:sz w:val="12"/>
                <w:szCs w:val="12"/>
                <w:color w:val="auto"/>
              </w:rPr>
            </w:pPr>
          </w:p>
        </w:tc>
        <w:tc>
          <w:tcPr>
            <w:tcW w:w="1640" w:type="dxa"/>
            <w:vAlign w:val="bottom"/>
            <w:gridSpan w:val="3"/>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April 30, 2025</w:t>
            </w:r>
          </w:p>
        </w:tc>
        <w:tc>
          <w:tcPr>
            <w:tcW w:w="126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January 31, 2025</w:t>
            </w:r>
          </w:p>
        </w:tc>
        <w:tc>
          <w:tcPr>
            <w:tcW w:w="80" w:type="dxa"/>
            <w:vAlign w:val="bottom"/>
          </w:tcPr>
          <w:p>
            <w:pPr>
              <w:spacing w:after="0"/>
              <w:rPr>
                <w:sz w:val="12"/>
                <w:szCs w:val="12"/>
                <w:color w:val="auto"/>
              </w:rPr>
            </w:pPr>
          </w:p>
        </w:tc>
      </w:tr>
      <w:tr>
        <w:trPr>
          <w:trHeight w:val="191"/>
        </w:trPr>
        <w:tc>
          <w:tcPr>
            <w:tcW w:w="48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Shares reserved for options, restricted stock and</w:t>
            </w:r>
          </w:p>
        </w:tc>
        <w:tc>
          <w:tcPr>
            <w:tcW w:w="138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34"/>
        </w:trPr>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stock units under equity plans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4,616,524</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4,991,570</w:t>
            </w:r>
          </w:p>
        </w:tc>
        <w:tc>
          <w:tcPr>
            <w:tcW w:w="80" w:type="dxa"/>
            <w:vAlign w:val="bottom"/>
            <w:shd w:val="clear" w:color="auto" w:fill="CFF0FC"/>
          </w:tcPr>
          <w:p>
            <w:pPr>
              <w:spacing w:after="0"/>
              <w:rPr>
                <w:sz w:val="20"/>
                <w:szCs w:val="20"/>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employee stock purchase plan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4,062,385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3,636,591</w:t>
            </w:r>
          </w:p>
        </w:tc>
        <w:tc>
          <w:tcPr>
            <w:tcW w:w="80" w:type="dxa"/>
            <w:vAlign w:val="bottom"/>
          </w:tcPr>
          <w:p>
            <w:pPr>
              <w:spacing w:after="0"/>
              <w:rPr>
                <w:sz w:val="20"/>
                <w:szCs w:val="20"/>
                <w:color w:val="auto"/>
              </w:rPr>
            </w:pPr>
          </w:p>
        </w:tc>
      </w:tr>
    </w:tbl>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During the three months ended April 30, 2025, the Company repurchased a total of 24,152 shares for approximately $1.0 million in cash. As of April 30, 2025, there was approximately $48.0 million available for repurchases under the current repurchase program through June 30, 2025.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classification of stock-based compensation for the periods indicated:</w:t>
      </w:r>
    </w:p>
    <w:p>
      <w:pPr>
        <w:sectPr>
          <w:pgSz w:w="11900" w:h="16838" w:orient="portrait"/>
          <w:cols w:equalWidth="0" w:num="1">
            <w:col w:w="11200"/>
          </w:cols>
          <w:pgMar w:left="320" w:top="130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4989195"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21590</wp:posOffset>
            </wp:positionV>
            <wp:extent cx="4989195"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Total stock-based compensation</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84"/>
        </w:trPr>
        <w:tc>
          <w:tcPr>
            <w:tcW w:w="240" w:type="dxa"/>
            <w:vAlign w:val="bottom"/>
          </w:tcPr>
          <w:p>
            <w:pPr>
              <w:spacing w:after="0"/>
              <w:rPr>
                <w:sz w:val="15"/>
                <w:szCs w:val="15"/>
                <w:color w:val="auto"/>
              </w:rPr>
            </w:pP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740" w:type="dxa"/>
            <w:vAlign w:val="bottom"/>
          </w:tcPr>
          <w:p>
            <w:pPr>
              <w:spacing w:after="0"/>
              <w:rPr>
                <w:sz w:val="15"/>
                <w:szCs w:val="15"/>
                <w:color w:val="auto"/>
              </w:rPr>
            </w:pPr>
          </w:p>
        </w:tc>
      </w:tr>
      <w:tr>
        <w:trPr>
          <w:trHeight w:val="372"/>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5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17,621</w:t>
            </w:r>
          </w:p>
        </w:tc>
      </w:tr>
      <w:tr>
        <w:trPr>
          <w:trHeight w:val="234"/>
        </w:trPr>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7,808</w:t>
            </w:r>
          </w:p>
        </w:tc>
      </w:tr>
      <w:tr>
        <w:trPr>
          <w:trHeight w:val="210"/>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26,130</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26,036</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360" w:space="720"/>
            <w:col w:w="4120"/>
          </w:cols>
          <w:pgMar w:left="320" w:top="1305" w:right="379" w:bottom="1440" w:gutter="0" w:footer="0" w:header="0"/>
          <w:type w:val="continuous"/>
        </w:sect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As of April 30, 2025, approximately $1.3 million of stock-based compensation expense was accrued in accrued and other current liabilities in the condensed consolidated balance sheets. Total unrecognized compensation cost related to unvested stock options at April 30, 2025 was $0.4 million and is expected to be recognized over a weighted-average period of 0.11 years. Total unrecognized compensation cost related to unvested restricted stock units at April 30, 2025 was approximately $160.1 million and is expected to be recognized over a weighted-average period of 2.38 years.</w:t>
      </w:r>
    </w:p>
    <w:p>
      <w:pPr>
        <w:spacing w:after="0" w:line="180"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weighted-average assumptions used to estimate the fair value of employee stock purchase plan awards for the periods indicated:</w:t>
      </w:r>
    </w:p>
    <w:p>
      <w:pPr>
        <w:spacing w:after="0" w:line="155"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12"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60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10"/>
        </w:trPr>
        <w:tc>
          <w:tcPr>
            <w:tcW w:w="6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 awards:</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Volatility</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68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4.29%</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6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Expected term (years)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r>
      <w:tr>
        <w:trPr>
          <w:trHeight w:val="216"/>
        </w:trPr>
        <w:tc>
          <w:tcPr>
            <w:tcW w:w="68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Dividend yield</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activities for the period indicated:</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restart"/>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4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4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20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31, 2025</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226,616</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24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(12,905)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Expired</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April 30, 2025</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209,111</w:t>
            </w: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8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240" w:type="dxa"/>
            <w:vAlign w:val="bottom"/>
            <w:tcBorders>
              <w:top w:val="single" w:sz="8" w:color="CFF0FC"/>
            </w:tcBorders>
          </w:tcPr>
          <w:p>
            <w:pPr>
              <w:spacing w:after="0"/>
              <w:rPr>
                <w:sz w:val="18"/>
                <w:szCs w:val="18"/>
                <w:color w:val="auto"/>
              </w:rPr>
            </w:pPr>
          </w:p>
        </w:tc>
        <w:tc>
          <w:tcPr>
            <w:tcW w:w="10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740" w:type="dxa"/>
            <w:vAlign w:val="bottom"/>
            <w:tcBorders>
              <w:top w:val="single" w:sz="8" w:color="CFF0FC"/>
            </w:tcBorders>
          </w:tcPr>
          <w:p>
            <w:pPr>
              <w:spacing w:after="0"/>
              <w:rPr>
                <w:sz w:val="18"/>
                <w:szCs w:val="18"/>
                <w:color w:val="auto"/>
              </w:rPr>
            </w:pPr>
          </w:p>
        </w:tc>
        <w:tc>
          <w:tcPr>
            <w:tcW w:w="11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April 30, 2025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204,454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-282575</wp:posOffset>
            </wp:positionV>
            <wp:extent cx="774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ordinary shares on April 30, 2025 was $47.99, as reported by The Nasdaq Global Select Market. The intrinsic value of exercised options is calculated based on the difference between the fair market value of the Company’s ordinary shares on the exercise date and the exercise price.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activities for the period indicated:</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3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31, 2025</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2,645,379</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(362,141)</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(144,799)</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April 30, 2025</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2,640,164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April 30, 2025, the aggregate intrinsic value of unvested restricted stock units was $126.7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Ordinary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ordinary share for the periods indicated:</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6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5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73"/>
              </w:rPr>
              <w:t>share</w:t>
            </w:r>
          </w:p>
        </w:tc>
        <w:tc>
          <w:tcPr>
            <w:tcW w:w="3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240" w:type="dxa"/>
            <w:vAlign w:val="bottom"/>
            <w:gridSpan w:val="2"/>
            <w:vMerge w:val="continue"/>
          </w:tcPr>
          <w:p>
            <w:pPr>
              <w:spacing w:after="0"/>
              <w:rPr>
                <w:sz w:val="12"/>
                <w:szCs w:val="12"/>
                <w:color w:val="auto"/>
              </w:rPr>
            </w:pPr>
          </w:p>
        </w:tc>
        <w:tc>
          <w:tcPr>
            <w:tcW w:w="1600" w:type="dxa"/>
            <w:vAlign w:val="bottom"/>
            <w:gridSpan w:val="2"/>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and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(24,328)</w:t>
            </w:r>
          </w:p>
        </w:tc>
        <w:tc>
          <w:tcPr>
            <w:tcW w:w="4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(37,932)</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ordinary shares - basic</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42,219,972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40,774,991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ordinary shares - diluted</w:t>
            </w:r>
          </w:p>
        </w:tc>
        <w:tc>
          <w:tcPr>
            <w:tcW w:w="1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42,219,972</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40,774,991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ordinary share:</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(0.58)</w:t>
            </w:r>
          </w:p>
        </w:tc>
        <w:tc>
          <w:tcPr>
            <w:tcW w:w="46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8"/>
              <w:spacing w:after="0" w:line="196" w:lineRule="exact"/>
              <w:rPr>
                <w:sz w:val="20"/>
                <w:szCs w:val="20"/>
                <w:color w:val="auto"/>
              </w:rPr>
            </w:pPr>
            <w:r>
              <w:rPr>
                <w:rFonts w:ascii="Times New Roman" w:cs="Times New Roman" w:eastAsia="Times New Roman" w:hAnsi="Times New Roman"/>
                <w:sz w:val="18"/>
                <w:szCs w:val="18"/>
                <w:color w:val="auto"/>
              </w:rPr>
              <w:t>(0.58)</w:t>
            </w:r>
          </w:p>
        </w:tc>
        <w:tc>
          <w:tcPr>
            <w:tcW w:w="460" w:type="dxa"/>
            <w:vAlign w:val="bottom"/>
            <w:gridSpan w:val="2"/>
          </w:tcPr>
          <w:p>
            <w:pPr>
              <w:jc w:val="right"/>
              <w:ind w:right="208"/>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-487680</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-471170</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-487680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-471170</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-187960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-170815</wp:posOffset>
            </wp:positionV>
            <wp:extent cx="60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following weighted-average potentially dilutive securities were excluded from the computation of diluted net loss per ordinary share as their effect would have been antidilutive: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1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20" w:type="dxa"/>
            <w:vAlign w:val="bottom"/>
            <w:tcBorders>
              <w:top w:val="single" w:sz="8" w:color="auto"/>
              <w:bottom w:val="single" w:sz="8" w:color="auto"/>
            </w:tcBorders>
          </w:tcPr>
          <w:p>
            <w:pPr>
              <w:jc w:val="right"/>
              <w:ind w:right="6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5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ordinary shares</w:t>
            </w:r>
          </w:p>
        </w:tc>
        <w:tc>
          <w:tcPr>
            <w:tcW w:w="4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218,909</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4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761,559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2,091,060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76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20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867,678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2,319,198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760" w:type="dxa"/>
            <w:vAlign w:val="bottom"/>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16</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-1079500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-1079500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of income taxes for the periods indicated:</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4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142"/>
        </w:trPr>
        <w:tc>
          <w:tcPr>
            <w:tcW w:w="69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6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(23,683)</w:t>
            </w:r>
          </w:p>
        </w:tc>
        <w:tc>
          <w:tcPr>
            <w:tcW w:w="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(37,174)</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an expense for income taxes of $0.6 million and $0.8 million for the three months ended April 30, 2025 and 2024, respectively. The decrease in income tax expense for the three months ended April 30, 2025, as compared to the same period in the prior fiscal year, was primarily due to changes in losses in foreign operations.</w:t>
      </w:r>
    </w:p>
    <w:p>
      <w:pPr>
        <w:spacing w:after="0" w:line="17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Company files federal and state income tax returns in the United States and in various foreign jurisdictions. The Company’s fiscal years 2022 through 2025 are generally open and subject to potential examination by U.S. federal tax authorities. The Company’s fiscal years 2021 through 2025 are generally open and subject to potential examination by state tax authorities. The Company’s fiscal years 2018 to 2025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8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Company regularly assesses the likelihood of adverse outcomes resulting from potential tax examinations to determine the adequacy of its provision for income taxes. These assessments can require considerable estimates and judgments. As of April 30, 2025, the gross amount of unrecognized tax benefits was approximately $20.6 million.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 At this time the Company is not able to reasonably estimate the amount of tax reserve that will reverse within the next 12 months.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 Manufacturer Commitments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third-party manufacturers. These manufacturing purchase commitments typically provide the Company with flexibility to cancel, reschedule or adjust requirements based upon business needs but the Company may incur certain costs depending on the production stage of the products. As of April 30, 2025 and January 31, 2025, total manufacturing purchase commitments were approximately $54.6 million and $56.4 million, respectively. On a quarterly basis, the Company also reviews and assesses the need for any expected loss liabilities for products that it does not expect to sell for which it has committed purchases from suppliers and records the liabilities in accrued and other current liabilities in the condensed consolidated balance sheets. There were no material loss liabilities recorded in the condensed consolidated balance sheets from adverse purchase commitments as of April 30, 2025 and January 31, 2025, respectively.</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other commitments as compared to the other commitments described in the Company's Annual Report on Form 10-K for the 2025 fiscal year filed with the SEC on March 28, 2025.</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and product liability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as of April 30, 2025, and no liabilities have been recorded for these obligations in the condensed consolidated balance sheets as of April 30, 2025 and January 31, 2025, respectively.</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9" w:lineRule="exact"/>
        <w:rPr>
          <w:sz w:val="20"/>
          <w:szCs w:val="20"/>
          <w:color w:val="auto"/>
        </w:rPr>
      </w:pPr>
    </w:p>
    <w:p>
      <w:pPr>
        <w:ind w:right="140" w:firstLine="562"/>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subject to commercial disputes, employment issues, intellectual property claims and litigation, in the ordinary course of its business. Although the ultimate disposition of asserted claims cannot be predicted with certainty, it is the Company’s belief that the outcome of any such claims, either individually or on a combined basis, will not have a material adverse effect on its consolidated financial position. The results of any litigation cannot be predicted with certainty, and regardless of the outcome, litigation can have an adverse impact on the Company because of defense and settlement costs, diversion of management resources, and other factors. As of April 30, 2025 and January 31, 2025, there were no accruals for contingent liabilities related to such matters recorded in the condensed consolidated balance sheets.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229" w:lineRule="exact"/>
        <w:rPr>
          <w:sz w:val="20"/>
          <w:szCs w:val="20"/>
          <w:color w:val="auto"/>
        </w:rPr>
      </w:pPr>
    </w:p>
    <w:p>
      <w:pPr>
        <w:ind w:right="20" w:firstLine="554"/>
        <w:spacing w:after="0" w:line="254" w:lineRule="auto"/>
        <w:rPr>
          <w:sz w:val="20"/>
          <w:szCs w:val="20"/>
          <w:color w:val="auto"/>
        </w:rPr>
      </w:pPr>
      <w:r>
        <w:rPr>
          <w:rFonts w:ascii="Times New Roman" w:cs="Times New Roman" w:eastAsia="Times New Roman" w:hAnsi="Times New Roman"/>
          <w:sz w:val="18"/>
          <w:szCs w:val="18"/>
          <w:color w:val="auto"/>
        </w:rPr>
        <w:t xml:space="preserve">The Company operates as a single operating and reportable segment and derives substantially all of its revenue from development and sales of low-power AI-based processing and video and image processing SoC solutions. In determination of a reportable segment, the Company considers the research and development deployed, the nature of production process, the distribution channels of SoCs, as well as the Company’s management structure. The Chief Executive Officer of the Company has been identified as the Chief Operating Decision Maker (the CODM) and manages the Company’s operations as a whole. The CODM uses net loss presented on a consolidated basis to evaluate the financial performance and allocate resources. The CODM also monitors budget versus actual results of the operating segment. The measure of reportable segment assets is reported within the condensed consolidated balance sheets as total assets. The accounting policies for the measurement of net loss and total assets of the reportable segment have been described in the Note 1, </w:t>
      </w:r>
      <w:r>
        <w:rPr>
          <w:rFonts w:ascii="Times New Roman" w:cs="Times New Roman" w:eastAsia="Times New Roman" w:hAnsi="Times New Roman"/>
          <w:sz w:val="18"/>
          <w:szCs w:val="18"/>
          <w:i w:val="1"/>
          <w:iCs w:val="1"/>
          <w:color w:val="auto"/>
        </w:rPr>
        <w:t xml:space="preserve">Organization and Summary of Significant Accounting Policies </w:t>
      </w:r>
      <w:r>
        <w:rPr>
          <w:rFonts w:ascii="Times New Roman" w:cs="Times New Roman" w:eastAsia="Times New Roman" w:hAnsi="Times New Roman"/>
          <w:sz w:val="18"/>
          <w:szCs w:val="18"/>
          <w:color w:val="auto"/>
        </w:rPr>
        <w:t>of the Notes to Consolidated Financial Statements included in the Company's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2025 fiscal year filed with the SEC on March 28, 2025.</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Company’s revenue by geographic region based on bill-to location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74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80" w:type="dxa"/>
            <w:vAlign w:val="bottom"/>
            <w:gridSpan w:val="2"/>
          </w:tcPr>
          <w:p>
            <w:pPr>
              <w:jc w:val="center"/>
              <w:ind w:right="588"/>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294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53,899</w:t>
            </w:r>
          </w:p>
        </w:tc>
        <w:tc>
          <w:tcPr>
            <w:tcW w:w="1180" w:type="dxa"/>
            <w:vAlign w:val="bottom"/>
            <w:gridSpan w:val="2"/>
            <w:shd w:val="clear" w:color="auto" w:fill="CFF0FC"/>
          </w:tcPr>
          <w:p>
            <w:pPr>
              <w:jc w:val="center"/>
              <w:ind w:right="5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33,685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other than Taiwan</w:t>
            </w:r>
          </w:p>
        </w:tc>
        <w:tc>
          <w:tcPr>
            <w:tcW w:w="1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16,559</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19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 other than United States</w:t>
            </w:r>
          </w:p>
        </w:tc>
        <w:tc>
          <w:tcPr>
            <w:tcW w:w="1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9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2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94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85,872</w:t>
            </w:r>
          </w:p>
        </w:tc>
        <w:tc>
          <w:tcPr>
            <w:tcW w:w="1180" w:type="dxa"/>
            <w:vAlign w:val="bottom"/>
            <w:gridSpan w:val="2"/>
          </w:tcPr>
          <w:p>
            <w:pPr>
              <w:jc w:val="center"/>
              <w:ind w:right="5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960" w:type="dxa"/>
            <w:vAlign w:val="bottom"/>
            <w:vMerge w:val="restart"/>
          </w:tcPr>
          <w:p>
            <w:pPr>
              <w:jc w:val="right"/>
              <w:ind w:right="910"/>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-1079500</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-1079500</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property and equipment were located in the United States, Taiwan, Europe and Asia Pacific region other than Taiwan. As of April 30, 2025, the net amount of these fixed assets located in these regions was approximately $5.1 million, $3.8 million, $1.1 million and $0.2 million, respectively. As of January 31, 2025, the net amount of these fixed assets located in these regions was approximately $3.7 million, $4.0 million, $1.1 million and $0.3 million, respectively.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Additional Segment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significant segment expenses included in the condensed consolidated net loss for the periods indicated: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0" w:type="dxa"/>
            <w:vAlign w:val="bottom"/>
          </w:tcPr>
          <w:p>
            <w:pPr>
              <w:jc w:val="right"/>
              <w:ind w:right="52"/>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right"/>
              <w:ind w:right="588"/>
              <w:spacing w:after="0" w:line="124"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5140" w:type="dxa"/>
            <w:vAlign w:val="bottom"/>
            <w:vMerge w:val="continue"/>
          </w:tcPr>
          <w:p>
            <w:pPr>
              <w:spacing w:after="0"/>
              <w:rPr>
                <w:sz w:val="20"/>
                <w:szCs w:val="20"/>
                <w:color w:val="auto"/>
              </w:rPr>
            </w:pPr>
          </w:p>
        </w:tc>
        <w:tc>
          <w:tcPr>
            <w:tcW w:w="356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85,872</w:t>
            </w:r>
          </w:p>
        </w:tc>
        <w:tc>
          <w:tcPr>
            <w:tcW w:w="160" w:type="dxa"/>
            <w:vAlign w:val="bottom"/>
          </w:tcPr>
          <w:p>
            <w:pPr>
              <w:spacing w:after="0"/>
              <w:rPr>
                <w:sz w:val="20"/>
                <w:szCs w:val="20"/>
                <w:color w:val="auto"/>
              </w:rPr>
            </w:pP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Less cost and expense:</w:t>
            </w:r>
          </w:p>
        </w:tc>
        <w:tc>
          <w:tcPr>
            <w:tcW w:w="2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cost</w:t>
            </w:r>
          </w:p>
        </w:tc>
        <w:tc>
          <w:tcPr>
            <w:tcW w:w="2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Employee-related</w:t>
            </w:r>
          </w:p>
        </w:tc>
        <w:tc>
          <w:tcPr>
            <w:tcW w:w="2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Semiconductor development cost</w:t>
            </w:r>
          </w:p>
        </w:tc>
        <w:tc>
          <w:tcPr>
            <w:tcW w:w="2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Tools &amp; equipment</w:t>
            </w:r>
          </w:p>
        </w:tc>
        <w:tc>
          <w:tcPr>
            <w:tcW w:w="2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2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Facilities-related</w:t>
            </w:r>
          </w:p>
        </w:tc>
        <w:tc>
          <w:tcPr>
            <w:tcW w:w="2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4"/>
                <w:szCs w:val="24"/>
                <w:color w:val="auto"/>
                <w:vertAlign w:val="superscript"/>
              </w:rPr>
              <w:t>(a)</w:t>
            </w:r>
          </w:p>
        </w:tc>
        <w:tc>
          <w:tcPr>
            <w:tcW w:w="2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(2,160)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(24,328)</w:t>
            </w: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(37,932)</w:t>
            </w: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26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480" w:hanging="3"/>
        <w:spacing w:after="0" w:line="282" w:lineRule="auto"/>
        <w:tabs>
          <w:tab w:leader="none" w:pos="7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segment items include amortization of intangible assets acquired from business combinations, non-operating (income) expenses, income tax provision (benefit) and other immaterial items.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For the three months ended April 30, 2025, the customer representing 10% or more of revenue was WT, which accounted for approximately 63% of total revenue. For the three months ended April 30, 2024, the customers representing 10% or more of revenue were WT and Chicony, which accounted for approximately 62% and 13% of total revenue, respectively. Accounts receivable with WT was approximately $13.5 million and $12.3 million as of April 30, 2025 and January 31, 2025,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May 29, 2025, the Company announced that its Board of Directors had approved an extension of the Company's existing share repurchase program for an additional twelve months through June 30, 2026. The repurchase program does not obligate the Company to acquire any particular amount of ordinary shares, and it may be suspended at any time at the Company’s discretion. As of June 3, 2025, there was approximately $48.0 million available for repurchases under the repurchase program through June 30, 2026.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left="10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the consolidated financial statements and notes thereto for the fiscal year ended January 31, 2025 and management’s discussion and analysis of our financial condition and results of operations included in our Annual Report on Form 10-K for the 2025 fiscal year filed with the Securities and Exchange Commission, or SEC, on March 28, 2025.</w:t>
      </w:r>
    </w:p>
    <w:p>
      <w:pPr>
        <w:spacing w:after="0" w:line="18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including this “Management’s Discussion and Analysis of Financial Condition and Results of Operations”, includes a number of forward-looking statements that involve many risks and uncertainties. Forward-looking statements are identified by the use of the words “would,” “could,” “will,” “may,” “expect,” “believe,” “should,” “anticipate,” “outlook,” “if,” “future,” “intend,” “plan,” “estimate,” “predict,” “potential,” “target,” “seek,” “project,” “forecast,” “continue” or “foreseeable” and similar words and phrases, including the negatives of these terms, or other variations of these terms, that denote future events. Such statements include, but are not limited to, statements concerning our market opportunity and our ability to compete in such markets, our product strategy, our ability to develop and introduce new solutions, our future financial and operating performance, our sales and marketing strategy, our investment strategy, research and development, our customer and supplier relationships and inventory levels, industry trends, our cash needs and capital requirements, our repurchase programs, our expectations about taxes, operating expenses, and cost recognition, the availability of third-party components and economic and political conditions.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Quarterly Report on Form 10-Q. These factors include, but are not limited to: risks associated with revenue being generated from new customers or design wins, neither of which is assured; our ability to retain and expand customer relationships and to achieve design wins; risks associated with the overall economy, including higher inflation and escalating trade tensions between the U.S. and China; the commercial success of our customers’ products; our growth strategy; fluctuations in our operating results; our ability to anticipate future market demands and future needs and preferences of our customers; our ability to introduce new and enhanced solutions; the expansion of our current markets and our ability to successfully enter new markets; anticipated trends and challenges, including competition, in the markets in which we operate or seek to operate; our expectations regarding computer vision; our ability to effectively generate and manage growth; our ability to retain key employees; the potential for intellectual property disputes or other litigation; the risks described under Item 1A of Part II — “Risk Factors,” and Item 2 of Part I — “Management’s Discussion and Analysis of Financial Condition and Results of Operations”; the risks described elsewhere in this Quarterly Report on Form 10-Q and those discussed in other documents we file with the SEC. We make these forward-looking statements based upon information available on the date of this Quarterly Report on Form 10-Q, and we have no obligation (and expressly disclaim any such obligation) to update or alter any forward-looking statements, whether as a result of new information or otherwise except as otherwise required by securities regulations.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 leading developer of low-power system-on-a-chip, or SoC, semiconductors providing powerful artificial intelligence, or AI, processing, advanced image signal processing and high-resolution video compression. Since inception, we have primarily served human viewing applications with video and image processors for enterprise, public infrastructure and home applications, such as internet protocol, or IP, security cameras, sports cameras, wearables, aerial drones, and aftermarket automotive video recorders. Our recent development efforts have focused on creating advanced AI technology that enables edge devices to visually perceive the environment and make decisions based on the data collected from cameras and, most recently, other types of sensors. This category of AI technology is known as edge inference AI, and our latest SoCs integrate our state-of-the-art video processor technology together with our deep learning neural network processing technology, which we refer to as CVflow™. The CVflow-architecture supports a variety of AI algorithms, including object detection, classification and tracking, semantic and instance segmentation, image processing, stereo object detection, and terrain mapping. CVflow can process other sensor modalities including lidar and radar, and allows customers to differentiate their products by porting their own, or third-party, neural networks and/or classical AI algorithms to our CVflow-based SoCs. Our latest third generation CVflow technology enables us to address incremental and computationally intense AI applications for deep fusion, deep planning, vision-language models (VLMs) and large language models (LLMs), as well as efficiently process transformer AI networks.</w:t>
      </w:r>
    </w:p>
    <w:p>
      <w:pPr>
        <w:spacing w:after="0" w:line="8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SoC designs fully integrate AI functionality, high-definition, or HD, video processing, image processing, audio processing, and system functions onto a single chip, delivering exceptional video and image quality at high compression rates, differentiated functionality and low power consumption. These AI-based technologies are allowing us to address a broader range of markets and applications requiring AI video features, including IP security cameras, a variety of automotive cameras, consumer cameras, and industrial and robotic applications. We anticipate that our AI technology will also enable us to capture more content per electronic system and increase our average selling price.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development efforts are focused on SoCs that provide human viewing, AI and radar detection functionalities. As a result, we believe that our future revenue growth, if any, will significantly depend upon our ability to expand within camera markets with our AI technology, particularly in the Internet of Things, or IoT, markets, as well as emerging markets such as AI-enabled security cameras, AI-based driving applications, including driver monitoring systems, advanced blind spot detection, object detection, and deep learning algorithms for HD mapping solutions, automotive advanced driver assistance systems, or ADAS, applications, and industrial and robotics markets. We expect our research and development expenditures to increase in comparison to prior periods as we devote additional resources to the development of innovative video and image processing solutions with increased functionality, such as AI capabilities, and as we target new markets.</w:t>
      </w:r>
    </w:p>
    <w:p>
      <w:pPr>
        <w:spacing w:after="0" w:line="18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sell our SoC solutions to leading original design manufacturers, or ODMs, and original equipment manufacturers, or OEMs, globally, and in the automotive market, we also sell to Tier-1 suppliers. We refer to ODMs and Tier-1 automotive suppliers as our customers and OEMs as our end customers, except as otherwise indicated or as the context otherwise requires.</w:t>
      </w:r>
    </w:p>
    <w:p>
      <w:pPr>
        <w:spacing w:after="0" w:line="17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Volume production may begin within 12 to 18 months after a design win, but could be longer in certain markets, depending on the complexity of our customer’s product and other factors upon which we may have little or no influence. In general, design cycles will be longer in the OEM automotive and industrial and robotics markets than in the IoT markets.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An IoT product typically has a life cycle of 12 to 24 months. We anticipate that product life cycles will typically be longer than 24 months in the OEM automotive and industrial and robotics markets, as new product introductions occur less frequently in these markets.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121" w:lineRule="exact"/>
        <w:rPr>
          <w:sz w:val="20"/>
          <w:szCs w:val="20"/>
          <w:color w:val="auto"/>
        </w:rPr>
      </w:pPr>
    </w:p>
    <w:p>
      <w:pPr>
        <w:ind w:left="1540" w:right="20" w:hanging="514"/>
        <w:spacing w:after="0" w:line="261"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revenue of $85.9 million for the three months ended April 30, 2025. This represented an increase of 57.6% as compared to the same period in the prior fiscal year. The increase in revenue was primarily attributable to higher product unit shipments, an increased percentage of our sales from higher value AI inference processors which contribute to a higher average selling price, as well as higher nonrecurring engineering (NRE) project service revenue.</w:t>
      </w:r>
    </w:p>
    <w:p>
      <w:pPr>
        <w:spacing w:after="0" w:line="71" w:lineRule="exact"/>
        <w:rPr>
          <w:rFonts w:ascii="Times New Roman" w:cs="Times New Roman" w:eastAsia="Times New Roman" w:hAnsi="Times New Roman"/>
          <w:sz w:val="18"/>
          <w:szCs w:val="18"/>
          <w:color w:val="auto"/>
        </w:rPr>
      </w:pPr>
    </w:p>
    <w:p>
      <w:pPr>
        <w:ind w:left="1540" w:right="120" w:hanging="514"/>
        <w:spacing w:after="0" w:line="281" w:lineRule="auto"/>
        <w:tabs>
          <w:tab w:leader="none" w:pos="15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recorded an operating loss of $25.9 million for the three months ended April 30, 2025, as compared to an operating loss of $39.4 million for the three months ended April 30, 2024. This reduction in operating loss was primarily attributable to higher revenue and consequently, higher gross profit, partially offset by an increase in operating expenses. The increase in operating expenses primarily related to higher personnel and engineering-related costs, including chip development costs and tools and equipment expenses.</w:t>
      </w:r>
    </w:p>
    <w:p>
      <w:pPr>
        <w:spacing w:after="0" w:line="56" w:lineRule="exact"/>
        <w:rPr>
          <w:rFonts w:ascii="Times New Roman" w:cs="Times New Roman" w:eastAsia="Times New Roman" w:hAnsi="Times New Roman"/>
          <w:sz w:val="17"/>
          <w:szCs w:val="17"/>
          <w:color w:val="auto"/>
        </w:rPr>
      </w:pPr>
    </w:p>
    <w:p>
      <w:pPr>
        <w:ind w:left="1540" w:right="20" w:hanging="514"/>
        <w:spacing w:after="0" w:line="258"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cash flows from operating activities of $14.8 million for the three months ended April 30, 2025, as compared to cash outflows of $15.0 million for the three months ended April 30, 2024. The increase in cash flows from operating activities was primarily attributable to reduced net loss adjusted for certain non-cash items, higher collections of accounts receivable associated with the timing of sales and increased liabilities associated with the timing of payments to our vendors, partially offset by increased inventory purchase as a result of higher demand from customers.</w:t>
      </w:r>
    </w:p>
    <w:p>
      <w:pPr>
        <w:spacing w:after="0" w:line="75"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April 30, 2025, we repurchased a total of 24,152 of our ordinary shares for approximately $1.0 million in cash. The repurchased shares were recorded as authorized but unissued shares. As of April 30, 2025, there was approximately $48.0 million available for repurchases through June 30,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21" w:name="page22"/>
    <w:bookmarkEnd w:id="21"/>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Ability to Capitalize on AI and Computer Vision Trends</w:t>
      </w:r>
      <w:r>
        <w:rPr>
          <w:rFonts w:ascii="Times New Roman" w:cs="Times New Roman" w:eastAsia="Times New Roman" w:hAnsi="Times New Roman"/>
          <w:sz w:val="18"/>
          <w:szCs w:val="18"/>
          <w:color w:val="auto"/>
        </w:rPr>
        <w:t>. We expect that AI and computer vision functionality will become an increasingly important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 in many of our current and future markets, including IoT, automotive, industrial and robotics markets. As a result, we believe that our ability to develop advanced AI and computer vision technologies, enable and support customer product development in emerging applications, such as ADAS, advanced blind spot detection, object detection, classification and tracking, people recognition, retail analytics, and machine learning, and gain customer acceptance of our technology platform and solutions will be critical to our future success. Moreover, achieving design wins, particularly for computer vision-centric applications in the IoT, automotive, industrial and robotics markets, is vital to our ability to generate revenue growth. As such, we closely monitor our design wins with our customers. However, a design win may not successfully materialize into revenue, and even if it does result in revenue, the amount generated by each design win can vary significantly.</w:t>
      </w:r>
    </w:p>
    <w:p>
      <w:pPr>
        <w:spacing w:after="0" w:line="18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Ability to Develop and Introduce New or Enhanced Solutions</w:t>
      </w:r>
      <w:r>
        <w:rPr>
          <w:rFonts w:ascii="Times New Roman" w:cs="Times New Roman" w:eastAsia="Times New Roman" w:hAnsi="Times New Roman"/>
          <w:sz w:val="18"/>
          <w:szCs w:val="18"/>
          <w:color w:val="auto"/>
        </w:rPr>
        <w:t>. We operate in a dynamic environment characterized by rapidly changing technologies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technological obsolescence. To compete successfully, we must design, develop, market and sell enhanced solutions with increased levels of performance and functionality that meet the expectations of our customers, including advanced process technologies. As such, we continuously invest in our research and development projects, especially AI and computer vision technologies. However, failure to anticipate or timely develop new or enhanced solutions in response to technology shifts and trends could result in decreased revenue and our competitors achieving design wins we sought. In addition, our ability to successfully develop new and enhanced solutions depends on our continuing ability to hire, train, motivate and retain highly skilled engineers, which is not ensured. Moreover, any reliability or quality problems with our solutions could harm our reputation, increase additional development and replacement costs, and prevent us from retaining existing customers and attracting new customers.</w:t>
      </w:r>
    </w:p>
    <w:p>
      <w:pPr>
        <w:spacing w:after="0" w:line="185"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Pricing, Product Cost and Margin</w:t>
      </w:r>
      <w:r>
        <w:rPr>
          <w:rFonts w:ascii="Times New Roman" w:cs="Times New Roman" w:eastAsia="Times New Roman" w:hAnsi="Times New Roman"/>
          <w:sz w:val="18"/>
          <w:szCs w:val="18"/>
          <w:color w:val="auto"/>
        </w:rPr>
        <w:t>. Our pricing and margins depend on the volumes and features of the solutions we provide to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p>
    <w:p>
      <w:pPr>
        <w:spacing w:after="0" w:line="18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160"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Continued Concentration of Revenue by End Markets</w:t>
      </w:r>
      <w:r>
        <w:rPr>
          <w:rFonts w:ascii="Times New Roman" w:cs="Times New Roman" w:eastAsia="Times New Roman" w:hAnsi="Times New Roman"/>
          <w:sz w:val="18"/>
          <w:szCs w:val="18"/>
          <w:color w:val="auto"/>
        </w:rPr>
        <w:t>. Historically, our revenue has been significantly concentrated in a small number of 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and we developed technologies to provide solutions for new markets as they emerged. Since fiscal year 2018, the IoT markets and automotive markets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AI and computer vision functionalities for AI-enabled security cameras, AI-based driving applications and industrial and robotics markets. While we will continue to seek to expand our end market exposure, we anticipate that sales to a limited number of markets will continue to account for a significant percentage of our total revenue for the foreseeable future. Our concentration in a limited number of markets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19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Sales Volume</w:t>
      </w:r>
      <w:r>
        <w:rPr>
          <w:rFonts w:ascii="Times New Roman" w:cs="Times New Roman" w:eastAsia="Times New Roman" w:hAnsi="Times New Roman"/>
          <w:sz w:val="18"/>
          <w:szCs w:val="18"/>
          <w:color w:val="auto"/>
        </w:rPr>
        <w:t>. A typical design win that successfully launches into the marketplace can generate a wide range of sales volumes for our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2" w:name="page23"/>
    <w:bookmarkEnd w:id="22"/>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Customer Product Life Cycle. </w:t>
      </w:r>
      <w:r>
        <w:rPr>
          <w:rFonts w:ascii="Times New Roman" w:cs="Times New Roman" w:eastAsia="Times New Roman" w:hAnsi="Times New Roman"/>
          <w:sz w:val="18"/>
          <w:szCs w:val="18"/>
          <w:color w:val="auto"/>
        </w:rPr>
        <w:t>We estimate our customers’ product life cycles based on the customer, type of product and end market. We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 commercial shipments from 12 to 18 months following a design win; however, in some markets, lengthier product and development cycles are possible, depending on the scope and nature of the project, such as in the automotive market. An IoT product typically has a product life cycle of 12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Impact of Global Supply Chain Conditions on Our Business. </w:t>
      </w:r>
      <w:r>
        <w:rPr>
          <w:rFonts w:ascii="Times New Roman" w:cs="Times New Roman" w:eastAsia="Times New Roman" w:hAnsi="Times New Roman"/>
          <w:sz w:val="18"/>
          <w:szCs w:val="18"/>
          <w:color w:val="auto"/>
        </w:rPr>
        <w:t>The semiconductor industry faced significant global supply chain challenges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past few years. Supply chain issues can impact our business as they relate to both our suppliers and our customers. Recent supply chain challenges have largely subsided but may recur in future periods with changes in the macro-economic environment, including potential retaliatory tariffs and restrictions on exports to foreign locations due to the recent imposition of tariffs by the U.S. Government on imports.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 of operations for the periods indicated:</w:t>
      </w:r>
    </w:p>
    <w:p>
      <w:pPr>
        <w:spacing w:after="0" w:line="27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85,872</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54,473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51,536</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58,819</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54,137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77,394</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72,605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(25,858)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(23,683)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(24,328)</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-1302385</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-1302385</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-736600</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-736600</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-453390</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-453390</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operating results as a percentage of revenue of each line item for the periods indicated:</w:t>
      </w:r>
    </w:p>
    <w:p>
      <w:pPr>
        <w:spacing w:after="0" w:line="27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2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5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09"/>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58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8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51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133</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r>
      <w:tr>
        <w:trPr>
          <w:trHeight w:val="210"/>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18"/>
                <w:szCs w:val="18"/>
                <w:color w:val="auto"/>
              </w:rPr>
            </w:pPr>
          </w:p>
        </w:tc>
      </w:tr>
      <w:tr>
        <w:trPr>
          <w:trHeight w:val="216"/>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r>
      <w:tr>
        <w:trPr>
          <w:trHeight w:val="210"/>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18"/>
                <w:szCs w:val="18"/>
                <w:color w:val="auto"/>
              </w:rPr>
            </w:pPr>
          </w:p>
        </w:tc>
      </w:tr>
      <w:tr>
        <w:trPr>
          <w:trHeight w:val="216"/>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r>
      <w:tr>
        <w:trPr>
          <w:trHeight w:val="209"/>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14"/>
                <w:szCs w:val="14"/>
                <w:color w:val="auto"/>
              </w:rPr>
              <w:t xml:space="preserve">(28) </w:t>
            </w:r>
            <w:r>
              <w:rPr>
                <w:rFonts w:ascii="Times New Roman" w:cs="Times New Roman" w:eastAsia="Times New Roman" w:hAnsi="Times New Roman"/>
                <w:sz w:val="24"/>
                <w:szCs w:val="24"/>
                <w:color w:val="auto"/>
                <w:vertAlign w:val="subscript"/>
              </w:rPr>
              <w:t>%</w:t>
            </w:r>
          </w:p>
        </w:tc>
        <w:tc>
          <w:tcPr>
            <w:tcW w:w="820" w:type="dxa"/>
            <w:vAlign w:val="bottom"/>
          </w:tcPr>
          <w:p>
            <w:pPr>
              <w:spacing w:after="0"/>
              <w:rPr>
                <w:sz w:val="18"/>
                <w:szCs w:val="18"/>
                <w:color w:val="auto"/>
              </w:rPr>
            </w:pPr>
          </w:p>
        </w:tc>
        <w:tc>
          <w:tcPr>
            <w:tcW w:w="56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14"/>
                <w:szCs w:val="14"/>
                <w:color w:val="auto"/>
              </w:rPr>
              <w:t xml:space="preserve">(70) </w:t>
            </w:r>
            <w:r>
              <w:rPr>
                <w:rFonts w:ascii="Times New Roman" w:cs="Times New Roman" w:eastAsia="Times New Roman" w:hAnsi="Times New Roman"/>
                <w:sz w:val="24"/>
                <w:szCs w:val="24"/>
                <w:color w:val="auto"/>
                <w:vertAlign w:val="subscript"/>
              </w:rPr>
              <w:t>%</w:t>
            </w:r>
          </w:p>
        </w:tc>
      </w:tr>
      <w:tr>
        <w:trPr>
          <w:trHeight w:val="20"/>
        </w:trPr>
        <w:tc>
          <w:tcPr>
            <w:tcW w:w="5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-736600</wp:posOffset>
            </wp:positionV>
            <wp:extent cx="51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-736600</wp:posOffset>
            </wp:positionV>
            <wp:extent cx="514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-453390</wp:posOffset>
            </wp:positionV>
            <wp:extent cx="514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514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3" w:right="379" w:bottom="1440" w:gutter="0" w:footer="0" w:header="0"/>
        </w:sectPr>
      </w:pPr>
    </w:p>
    <w:bookmarkStart w:id="23" w:name="page24"/>
    <w:bookmarkEnd w:id="23"/>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derive substantially all of our revenue from the sale of low power AI-based processing and video and image processing SoC solutions to IoT OEMs, IoT ODMs, automotive OEMs or Tier-1 automotive suppliers, either directly or through our distributors. A substantial portion of our revenue from sales was made indirectly through one of our distributors, WT Microelectronics Co., Ltd., formerly Wintech Microelectronics Co., Ltd., or WT, which serves as our non-exclusive sales representative and fulfillment partner in Asia other than Japan, and to one ODM, Chicony Electronics Co., Ltd., or Chicony, which manufactures devices incorporating our solutions on behalf of multiple end-customers.</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average selling prices fluctuate based on the mix of our solutions sold in a period which reflects the impact of both changes in unit sales of existing solutions as well as the introduction and sales of new solutions. Our AI-based solutions generally have higher selling prices than our traditional video and image processing SoC solutions that do not enable AI functionality. Our solutions are typically characterized by a life cycle that begins with higher average selling prices and lower volumes, followed by broader market adoption, higher volumes and average selling prices that are lower than initial levels.</w:t>
      </w:r>
    </w:p>
    <w:p>
      <w:pPr>
        <w:spacing w:after="0" w:line="183"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end markets into which we sell our products have seen significant changes as customer preferences have evolved in response to new technologies. As a result, the composition and timing of our revenue may change in future periods. We expect shifts in use of video capture to continue to change over time, as AI specialized use cases emerge and video capture continues to proliferate.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Cost of revenue includes the cost of materials, such as wafers processed by third-party foundries, costs associated with packaging, assembly, testing and manufacturing support operations, such as logistics, planning and quality assurance, as well as personnel costs (including stock-based compensation) related to project service agreements. Cost of revenue also includes indirect costs, such as inventory valuation reserves, adverse purchase commitment reserves, facility cost allocations, amortization of developed technology and software licenses, warranty and other general overhead costs.</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expect that our gross margin may fluctuate from period to period as a result of changes in customer mix,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primarily consists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costs of fabrication of mask sets for prototype products, the cost and depreciation of equipment, outside services as well as allocated depreciation and facility expenses. All research and development costs are expensed as incurred. We expect our research and development expense to generally increase in absolute dollars as we continue to enhance and expand our product features and offerings and increase headcount for new SoC development and development of AI technologies.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 primarily consists of personnel costs, including salaries, stock-based compensation and employee benefits for our sales, marketing, finance, human resources, information technology and administrative personnel. The expense also includes amortization of trade name and customer relationships, professional service costs such as accounting, tax, or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AI technology.</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Other income, net, consists primarily of interest income and yields from our cash deposits and debt security investments, realized gains and losses from equity and debt security investments, subsidies and grants issued by governments, as well as gains and losses from foreign currency transactions and remeasurements.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incorporated and domiciled in the Cayman Islands and also conduct business in several locations such as the United States, China, Taiwan, Hong Kong, Italy, South Korea, Germany,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were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April 30, 2025 and 2024</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25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2"/>
                <w:szCs w:val="12"/>
                <w:color w:val="auto"/>
              </w:rPr>
            </w:pPr>
          </w:p>
        </w:tc>
        <w:tc>
          <w:tcPr>
            <w:tcW w:w="11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2"/>
                <w:szCs w:val="12"/>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260" w:type="dxa"/>
            <w:vAlign w:val="bottom"/>
          </w:tcPr>
          <w:p>
            <w:pPr>
              <w:spacing w:after="0"/>
              <w:rPr>
                <w:sz w:val="12"/>
                <w:szCs w:val="12"/>
                <w:color w:val="auto"/>
              </w:rPr>
            </w:pPr>
          </w:p>
        </w:tc>
        <w:tc>
          <w:tcPr>
            <w:tcW w:w="1820" w:type="dxa"/>
            <w:vAlign w:val="bottom"/>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Pr>
          <w:p>
            <w:pPr>
              <w:jc w:val="right"/>
              <w:ind w:right="6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60" w:type="dxa"/>
            <w:vAlign w:val="bottom"/>
            <w:vMerge w:val="continue"/>
          </w:tcPr>
          <w:p>
            <w:pPr>
              <w:spacing w:after="0"/>
              <w:rPr>
                <w:sz w:val="12"/>
                <w:szCs w:val="12"/>
                <w:color w:val="auto"/>
              </w:rPr>
            </w:pPr>
          </w:p>
        </w:tc>
        <w:tc>
          <w:tcPr>
            <w:tcW w:w="14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shd w:val="clear" w:color="auto" w:fill="CFF0FC"/>
          </w:tcPr>
          <w:p>
            <w:pPr>
              <w:jc w:val="right"/>
              <w:ind w:right="72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85,872</w:t>
            </w:r>
          </w:p>
        </w:tc>
        <w:tc>
          <w:tcPr>
            <w:tcW w:w="116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54,473</w:t>
            </w:r>
          </w:p>
        </w:tc>
        <w:tc>
          <w:tcPr>
            <w:tcW w:w="5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31,399</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Revenue increased for the three months ended April 30, 2025, as compared to the same period in the prior fiscal year, primarily due to higher product unit shipments, an increased percentage of our sales from higher value AI inference processors which contribute to a higher average selling price, as well as higher NRE project service revenue.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262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3240" w:type="dxa"/>
            <w:vAlign w:val="bottom"/>
          </w:tcPr>
          <w:p>
            <w:pPr>
              <w:spacing w:after="0"/>
              <w:rPr>
                <w:sz w:val="12"/>
                <w:szCs w:val="12"/>
                <w:color w:val="auto"/>
              </w:rPr>
            </w:pPr>
          </w:p>
        </w:tc>
        <w:tc>
          <w:tcPr>
            <w:tcW w:w="10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Borders>
              <w:bottom w:val="single" w:sz="8" w:color="auto"/>
            </w:tcBorders>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r>
      <w:tr>
        <w:trPr>
          <w:trHeight w:val="142"/>
        </w:trPr>
        <w:tc>
          <w:tcPr>
            <w:tcW w:w="3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4240" w:type="dxa"/>
            <w:vAlign w:val="bottom"/>
            <w:gridSpan w:val="2"/>
            <w:shd w:val="clear" w:color="auto" w:fill="CFF0FC"/>
          </w:tcPr>
          <w:p>
            <w:pPr>
              <w:jc w:val="right"/>
              <w:ind w:right="3208"/>
              <w:spacing w:after="0"/>
              <w:rPr>
                <w:sz w:val="20"/>
                <w:szCs w:val="20"/>
                <w:color w:val="auto"/>
              </w:rPr>
            </w:pPr>
            <w:r>
              <w:rPr>
                <w:rFonts w:ascii="Times New Roman" w:cs="Times New Roman" w:eastAsia="Times New Roman" w:hAnsi="Times New Roman"/>
                <w:sz w:val="18"/>
                <w:szCs w:val="18"/>
                <w:color w:val="auto"/>
                <w:w w:val="96"/>
              </w:rPr>
              <w:t>Gross margin</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60.9%</w:t>
            </w:r>
          </w:p>
        </w:tc>
        <w:tc>
          <w:tcPr>
            <w:tcW w:w="1120" w:type="dxa"/>
            <w:vAlign w:val="bottom"/>
            <w:shd w:val="clear" w:color="auto" w:fill="CFF0FC"/>
          </w:tcPr>
          <w:p>
            <w:pPr>
              <w:spacing w:after="0"/>
              <w:rPr>
                <w:sz w:val="18"/>
                <w:szCs w:val="18"/>
                <w:color w:val="auto"/>
              </w:rPr>
            </w:pPr>
          </w:p>
        </w:tc>
        <w:tc>
          <w:tcPr>
            <w:tcW w:w="94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r>
    </w:tbl>
    <w:p>
      <w:pPr>
        <w:spacing w:after="0" w:line="19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Gross margin decreased for the three months ended April 30, 2025, as compared to the same period in the prior fiscal year, primarily due to higher manufacturing costs associated with advanced process technologies and lower sales of previously reserved inventory, partially offset by an increase in high margin NRE project service revenue.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2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142"/>
        </w:trPr>
        <w:tc>
          <w:tcPr>
            <w:tcW w:w="2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20" w:type="dxa"/>
            <w:vAlign w:val="bottom"/>
            <w:gridSpan w:val="3"/>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2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58,819</w:t>
            </w:r>
          </w:p>
        </w:tc>
        <w:tc>
          <w:tcPr>
            <w:tcW w:w="114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54,137</w:t>
            </w:r>
          </w:p>
        </w:tc>
        <w:tc>
          <w:tcPr>
            <w:tcW w:w="12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r>
    </w:tbl>
    <w:p>
      <w:pPr>
        <w:spacing w:after="0" w:line="19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for the three months ended April 30, 2025, as compared to the same period in the prior fiscal year, primarily due to approximately $2.5 million of higher personnel costs, including stock-based compensation, employee benefits and incentive bonus, as a result of higher headcount, and approximately $2.2 million of additional engineering-related expenses associated with the progress and number of chips in development.</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142"/>
        </w:trPr>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900" w:type="dxa"/>
            <w:vAlign w:val="bottom"/>
            <w:gridSpan w:val="3"/>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4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114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18,468</w:t>
            </w:r>
          </w:p>
        </w:tc>
        <w:tc>
          <w:tcPr>
            <w:tcW w:w="134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r>
    </w:tbl>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25" w:name="page26"/>
    <w:bookmarkEnd w:id="25"/>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increased marginally for the three months ended April 30, 2025, as compared to the same period in the prior fiscal year, primarily due to approximately $0.4 million of higher personnel costs, including stock-based compensation, employee benefits and incentive bonus, partially offset by approximately $0.2 million of lower travel and facility-related expenses.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2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r>
      <w:tr>
        <w:trPr>
          <w:trHeight w:val="142"/>
        </w:trPr>
        <w:tc>
          <w:tcPr>
            <w:tcW w:w="2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920" w:type="dxa"/>
            <w:vAlign w:val="bottom"/>
            <w:gridSpan w:val="3"/>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98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1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34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5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bl>
    <w:p>
      <w:pPr>
        <w:spacing w:after="0" w:line="19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marginal decrease in other income, net, for the three months ended April 30, 2025, as compared to the same period in the prior fiscal year, was primarily due to lower yields from our cash deposits and debt security investments.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720" w:type="dxa"/>
            <w:vAlign w:val="bottom"/>
            <w:tcBorders>
              <w:bottom w:val="single" w:sz="8" w:color="auto"/>
            </w:tcBorders>
            <w:gridSpan w:val="4"/>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4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1419"/>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2"/>
                <w:szCs w:val="12"/>
                <w:color w:val="auto"/>
              </w:rPr>
            </w:pPr>
          </w:p>
        </w:tc>
        <w:tc>
          <w:tcPr>
            <w:tcW w:w="13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2"/>
                <w:szCs w:val="12"/>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w:t>
            </w:r>
          </w:p>
        </w:tc>
        <w:tc>
          <w:tcPr>
            <w:tcW w:w="98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jc w:val="right"/>
              <w:ind w:right="7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40" w:type="dxa"/>
            <w:vAlign w:val="bottom"/>
            <w:vMerge w:val="continue"/>
          </w:tcPr>
          <w:p>
            <w:pPr>
              <w:spacing w:after="0"/>
              <w:rPr>
                <w:sz w:val="12"/>
                <w:szCs w:val="12"/>
                <w:color w:val="auto"/>
              </w:rPr>
            </w:pPr>
          </w:p>
        </w:tc>
        <w:tc>
          <w:tcPr>
            <w:tcW w:w="9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32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1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61"/>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6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30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2"/>
                <w:szCs w:val="22"/>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(0.7) </w:t>
            </w: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quarterly income taxes reflect an estimate of the corresponding fiscal year’s annual effective tax rate and include, when applicable, adjustments from discrete tax items arising in the quarter.</w:t>
      </w:r>
    </w:p>
    <w:p>
      <w:pPr>
        <w:spacing w:after="0" w:line="162"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decrease in income tax expense for the three months ended April 30, 2025, as compared to the same period in the prior fiscal year, was primarily due to changes in losses in foreign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As of April 30, 2025, we had cash, cash equivalents and marketable debt securities of approximately $259.4 million. We invest in highly-liquid, short-term marketable debt securities and hold these investments as available-for-sale securities. Refer to Note 2 of the Notes to Condensed Consolidated Financial Statements for additional information.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142"/>
        </w:trPr>
        <w:tc>
          <w:tcPr>
            <w:tcW w:w="48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4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180" w:type="dxa"/>
            <w:vAlign w:val="bottom"/>
            <w:tcBorders>
              <w:right w:val="single" w:sz="8" w:color="CFF0FC"/>
            </w:tcBorders>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(14,951)</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Pr>
          <w:p>
            <w:pPr>
              <w:spacing w:after="0"/>
              <w:rPr>
                <w:sz w:val="18"/>
                <w:szCs w:val="18"/>
                <w:color w:val="auto"/>
              </w:rPr>
            </w:pP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(16,154)</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8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FF0FC"/>
          </w:tcPr>
          <w:p>
            <w:pPr>
              <w:spacing w:after="0"/>
              <w:rPr>
                <w:sz w:val="18"/>
                <w:szCs w:val="18"/>
                <w:color w:val="auto"/>
              </w:rPr>
            </w:pPr>
          </w:p>
        </w:tc>
        <w:tc>
          <w:tcPr>
            <w:tcW w:w="1240" w:type="dxa"/>
            <w:vAlign w:val="bottom"/>
            <w:tcBorders>
              <w:right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(1,550)</w:t>
            </w:r>
          </w:p>
        </w:tc>
        <w:tc>
          <w:tcPr>
            <w:tcW w:w="4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(288)</w:t>
            </w:r>
          </w:p>
        </w:tc>
      </w:tr>
      <w:tr>
        <w:trPr>
          <w:trHeight w:val="20"/>
        </w:trPr>
        <w:tc>
          <w:tcPr>
            <w:tcW w:w="48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(2,903)</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(13,104)</w:t>
            </w:r>
          </w:p>
        </w:tc>
      </w:tr>
      <w:tr>
        <w:trPr>
          <w:trHeight w:val="20"/>
        </w:trPr>
        <w:tc>
          <w:tcPr>
            <w:tcW w:w="4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-170815</wp:posOffset>
            </wp:positionV>
            <wp:extent cx="514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(Used in) Operating Activities</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increased for the three months ended April 30, 2025, as compared to the same period in the prior fiscal year, primarily attributable to reduced net loss adjusted for certain non-cash items, higher collections of accounts receivable associated with the timing of sales and increased liabilities associated with the timing of payments to our vendors, partially offset by increased inventory purchase as a result of higher demand from customers.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11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for the three months ended April 30, 2025, as compared to the same period in the prior fiscal year, primarily attributable to approximately $14.9 million of additional net cash payments for our debt security investments and approximately $3.4 million additional payments for the purchase of capital assets and software licenses.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99" w:right="41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1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increased for the three months ended April 30, 2025, as compared to the same period in the prior fiscal year, primarily due to approximately $1.0 million of cash payment for the repurchase of ordinary shares and $0.3 million of less cash received from stock activities.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right="60" w:firstLine="509"/>
        <w:spacing w:after="0" w:line="312" w:lineRule="auto"/>
        <w:rPr>
          <w:sz w:val="20"/>
          <w:szCs w:val="20"/>
          <w:color w:val="auto"/>
        </w:rPr>
      </w:pPr>
      <w:r>
        <w:rPr>
          <w:rFonts w:ascii="Times New Roman" w:cs="Times New Roman" w:eastAsia="Times New Roman" w:hAnsi="Times New Roman"/>
          <w:sz w:val="17"/>
          <w:szCs w:val="17"/>
          <w:color w:val="auto"/>
        </w:rPr>
        <w:t>On May 29, 2025, we announced that our Board of Directors had approved an extension of the existing share repurchase program for an additional twelve months through June 30, 2026. Refer to Note 16 of the Notes to Condensed Consolidated Financial Statements for additional information.</w:t>
      </w:r>
    </w:p>
    <w:p>
      <w:pPr>
        <w:spacing w:after="0" w:line="2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and Capital Expenditure Requirements</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balances will be sufficient to meet our anticipated cash requirements through at least the next 12 months. In the future, we may require more working capital to meet our operating and capital expenditure needs. If our available cash balances are insufficient to satisfy our future liquidity requirements, we may seek to sell equity or convertible debt securities or borrow funds commercially.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Purchase Obligations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April, 2025, we had purchase obligations with our independent contract manufacturers of $54.6 million.</w:t>
      </w:r>
    </w:p>
    <w:p>
      <w:pPr>
        <w:spacing w:after="0" w:line="22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Except as described above, there were no other material changes in our contractual obligations, commitments and contingencies from those disclosed in our Annual Report on Form 10-K for the fiscal year ended January 31, 2025. Please see Item 7, “Management’s Discussion and Analysis of Financial Condition and Results of Operations – Contractual Obligations, Commitments and Contingencies” in our Annual Report on Form 10-K for the fiscal year ended January 31, 2025 for a description of our contractual obligations.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As of April 30, 2025, we did not engage in any off-balance sheet arrangements, including the use of structured finance, special purpose entities or variable interest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Authoritative Accounting Guidance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 of Notes to Condensed Consolidated Financial Statements for information regarding recently issued accounting pronouncements.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121" w:lineRule="exact"/>
        <w:rPr>
          <w:sz w:val="20"/>
          <w:szCs w:val="20"/>
          <w:color w:val="auto"/>
        </w:rPr>
      </w:pPr>
    </w:p>
    <w:p>
      <w:pPr>
        <w:ind w:firstLine="57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Annual Report on Form 10-K for the 2025 fiscal year filed with the SEC on March 28,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market risk as described in Part II, Item 7A. “Quantitative and Qualitative Disclosures About Market Risk” in our Annual Report on Form 10-K for the 2025 fiscal year filed with the SEC on March 28, 2025.</w:t>
      </w: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7"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the end of the period covered by this Quarterly Report on Form 10-Q.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4"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Based upon such evaluation, our Principal Executive Officer and Principal Financial Officer have concluded that, as of April 30, 2025, our disclosure controls and procedures were effective at the reasonable assurance level.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Company’s fiscal quarter ended April 30, 2025 that have materially affected, or are reasonably likely to materially affect,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Disclosure Controls and Internal Control over Financial Reporting</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920" w:firstLine="509"/>
        <w:spacing w:after="0" w:line="282" w:lineRule="auto"/>
        <w:rPr>
          <w:sz w:val="20"/>
          <w:szCs w:val="20"/>
          <w:color w:val="auto"/>
        </w:rPr>
      </w:pPr>
      <w:r>
        <w:rPr>
          <w:rFonts w:ascii="Times New Roman" w:cs="Times New Roman" w:eastAsia="Times New Roman" w:hAnsi="Times New Roman"/>
          <w:sz w:val="18"/>
          <w:szCs w:val="18"/>
          <w:color w:val="auto"/>
        </w:rPr>
        <w:t>We are not engaged in any material legal proceedings at this time. Refer to Note 14, Commitments and Contingencies, to the condensed consolidated financial statements included in Part I, Item 1 of this Quarterly Report on Form 10-Q.</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60"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business and our industry is subject to numerous risks and uncertainties, including those described in the following Risk Factors. These risks include, but are not limited to, the following:</w:t>
      </w:r>
    </w:p>
    <w:p>
      <w:pPr>
        <w:spacing w:after="0" w:line="54" w:lineRule="exact"/>
        <w:rPr>
          <w:sz w:val="20"/>
          <w:szCs w:val="20"/>
          <w:color w:val="auto"/>
        </w:rPr>
      </w:pPr>
    </w:p>
    <w:p>
      <w:pPr>
        <w:ind w:left="1020" w:right="6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customers do not design our solutions into their product offerings, or if our customers’ product offerings are not commercially successful, our business would suffer.</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penetrate new markets, including the automotive original equipment manufacturer (OEM) and advanced driver assistance systems (ADAS) market, our revenue and financial condition could be harmed.</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and introduce new or enhanced solutions that meet market requirements on a timely basis, our ability to attract and retain customers could be impaired and our competitive position could be harmed.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the global supply chain challenges could adversely affect our business, financial condition, and results of operations.</w:t>
      </w:r>
    </w:p>
    <w:p>
      <w:pPr>
        <w:spacing w:after="0" w:line="11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risks relating to the adoption, use or application of emerging technologies, including artificial intelligence, by our customers and in our business, could adversely impact our financial results and result in reputational harm and liability.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in, or increased costs of, wafers and materials could adversely impact our gross margins and lead to reduced revenues.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inventory warehouse is located in Hong Kong and may be affected by political, social and economic conditions in Hong Kong.</w:t>
      </w:r>
    </w:p>
    <w:p>
      <w:pPr>
        <w:spacing w:after="0" w:line="117" w:lineRule="exact"/>
        <w:rPr>
          <w:rFonts w:ascii="Times New Roman" w:cs="Times New Roman" w:eastAsia="Times New Roman" w:hAnsi="Times New Roman"/>
          <w:sz w:val="18"/>
          <w:szCs w:val="18"/>
          <w:color w:val="auto"/>
        </w:rPr>
      </w:pPr>
    </w:p>
    <w:p>
      <w:pPr>
        <w:ind w:left="503" w:right="24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 markets may not grow or develop as we currently expect and are subject to market risks, any of which could harm our business, revenue and operating results.</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customers and end customers for a significant portion of our revenue. If we fail to retain or expand our customer relationships, our revenue could decline.</w:t>
      </w:r>
    </w:p>
    <w:p>
      <w:pPr>
        <w:spacing w:after="0" w:line="53" w:lineRule="exact"/>
        <w:rPr>
          <w:rFonts w:ascii="Times New Roman" w:cs="Times New Roman" w:eastAsia="Times New Roman" w:hAnsi="Times New Roman"/>
          <w:sz w:val="18"/>
          <w:szCs w:val="18"/>
          <w:color w:val="auto"/>
        </w:rPr>
      </w:pPr>
    </w:p>
    <w:p>
      <w:pPr>
        <w:ind w:left="503" w:right="44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53" w:lineRule="exact"/>
        <w:rPr>
          <w:rFonts w:ascii="Times New Roman" w:cs="Times New Roman" w:eastAsia="Times New Roman" w:hAnsi="Times New Roman"/>
          <w:sz w:val="18"/>
          <w:szCs w:val="18"/>
          <w:color w:val="auto"/>
        </w:rPr>
      </w:pPr>
    </w:p>
    <w:p>
      <w:pPr>
        <w:ind w:left="503" w:right="400" w:hanging="503"/>
        <w:spacing w:after="0" w:line="266"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competition to increase in the future, which could have an adverse effect on our revenue and market share.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our security systems may have a material adverse effect on our business.</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intend to continue to invest in research and development, we may be unable to make the substantial investments that are required to remain competitive in our business.</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and, if we are unable to hire, retain or motivate key personnel, we may not be able to grow effectively which could harm our business.</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of semiconductor solutions in our target markets have typically decreased over time and will likely do so in the future, which could harm our revenue and gross margins.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any future growth, we may not be able to execute our business plan and our operating results could suffer.</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the financial conditions of our customers could adversely affect our operating results.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cyclical nature of the semiconductor industry.</w:t>
      </w:r>
    </w:p>
    <w:p>
      <w:pPr>
        <w:spacing w:after="0" w:line="117" w:lineRule="exact"/>
        <w:rPr>
          <w:rFonts w:ascii="Times New Roman" w:cs="Times New Roman" w:eastAsia="Times New Roman" w:hAnsi="Times New Roman"/>
          <w:sz w:val="18"/>
          <w:szCs w:val="18"/>
          <w:color w:val="auto"/>
        </w:rPr>
      </w:pPr>
    </w:p>
    <w:p>
      <w:pPr>
        <w:ind w:left="503" w:right="360" w:hanging="503"/>
        <w:spacing w:after="0" w:line="266"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67"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transitioning to new wafer fabrication process technologies or achieving higher levels of design integration, which may result in reduced manufacturing yields, delays in product deliveries and increased costs.</w:t>
      </w:r>
    </w:p>
    <w:p>
      <w:pPr>
        <w:spacing w:after="0" w:line="53"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changing industry standards could make our video and image processing solutions obsolete, which would cause our operating results to suffer.</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tax risks, including relating to the complexity of calculating our tax provision, changes in effective tax rates, or unfavorable tax law changes.</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29" w:name="page30"/>
    <w:bookmarkEnd w:id="29"/>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on a quarterly and annual basis could cause the market price of our ordinary shares to decline.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generate revenue growth, we may not be able to execute our business plan and our operating results could suffer.</w:t>
      </w:r>
    </w:p>
    <w:p>
      <w:pPr>
        <w:spacing w:after="0" w:line="117"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long-term supply contracts with our third-party manufacturing vendors, and they may not allocate sufficient capacity to us at reasonable prices to meet future demands for our solutions.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incorporate components supplied by multiple third parties, and a supply shortage or delay in delivery of these components could delay orders for our solutions by our customers.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 is processed through a single distributor and the loss of this distributor may cause disruptions in our shipments, which may adversely affect our operations and financial condition.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our distributors’ product inventories.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various third-party vendors, service providers and contractors in the operation of our business.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including high inflation, recessionary concerns and trade restrictions, may impact our business and financial condition in ways that we currently cannot predict.</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and import controls that could subject us to liability or impair our ability to compete in international markets, including China. In addition, our ability to sell certain products to certain China customers has been restricted.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warranty and product liability claims and to product recalls.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numerous laws and regulatory compliance requirements, which are costly to comply with, and our failure to comply with these requirements could harm our business and operating results.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assertions of infringement of their intellectual property rights could result in our having to incur significant costs and cause our operating results to suffer. Any potential dispute involving our intellectual property could affect our customers, which could trigger our indemnification obligations to them and result in substantial expense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sell our video and image processing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We also face certain competitive disadvantages in these markets relative to larger competitors that have significantly more resources and a longer history working with OEMs and ODMs in these markets. In addition, trade tensions and tariffs between the United States and China as well as potential new export restrictions may make it more difficult to secure future design wins with China customers.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0" w:name="page31"/>
    <w:bookmarkEnd w:id="30"/>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Even if an OEM designs one of our SoC solutions into its product, we cannot be assured that the OEM’s product will be commercially successful over time or at all. For example, in the past we have secured design wins for customer products that were never commercially released by our customer or did not sell in volumes initially forecast by the customer, as a result of factors beyond our control. If products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penetrate new markets, including the automotive OEM and ADAS market, our revenue and financial condition could be harmed.</w:t>
      </w:r>
    </w:p>
    <w:p>
      <w:pPr>
        <w:spacing w:after="0" w:line="22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believe that our future revenue growth, if any, significantly depends on our ability to expand within the Internet of Things, or IoT, camera markets with our new artificial intelligence, or AI, computer vision SoC solutions, and penetrate, or further penetrate, the OEM automotive, robotics and industrial markets. Our AI computer vision SoC solutions have functionality that may also be applicable to other developing markets, such as processing of large language models (LLMs). Each of these markets presents distinct and substantial risks and, in many cases, requires us to develop new functionality or software to address the particular requirements of that market. If any of these markets do not develop as we currently anticipate, the technical requirements of these markets evolve in ways we do not anticipate, the development of such markets is delayed or impacted by factors outside of our control, or if we are unable to penetrate them successfully with our solutions, our revenue could decline and our financial condition would be negatively impacted. 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requires a substantial investment of our time and resources and we cannot assure you that we will secure design wins from these or other companies or that we will achieve meaningful revenue from the sales of our solutions into these markets. In addition, we face competition from larger competitors with greater resources and more history in these markets, which may put us at a competitive disadvantage to these larger competitors. If we fail to penetrate these or other new markets we are targeting, our financial condition would likely suffer. Moreover, if we are successful in achieving design wins in these new markets, it will likely take longer to generate revenue from such design wins than in our traditional markets.</w:t>
      </w:r>
    </w:p>
    <w:p>
      <w:pPr>
        <w:spacing w:after="0" w:line="193"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introduce new or enhanced solutions that meet market requirements on a timely basis, our ability to attract and retain customers could be impaired and our competitive position could be harmed.</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operate in a dynamic environment characterized by rapidly changing technologies. To compete successfully, we must design, develop, market and sell enhanced solutions that provide increasingly higher levels of performance and functionality and that meet the technical and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applicable to our solutions; or the requirement of additional functionality included in video processors. In addition, some of the markets for our solutions are characterized by frequent introduction of next-generation and new products, short product life cycles, increasing demand for added functionality and significant price competition. 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need to establish and maintain relationships with third-party suppliers or software providers in order to effectively market our solutions to end-customers. Failure to establish these relationships could harm our ability to achieve design wins.</w:t>
      </w:r>
    </w:p>
    <w:p>
      <w:pPr>
        <w:spacing w:after="0" w:line="19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As we develop and introduce new solutions, we also face the risk that customers may not value or be willing to bear the cost of incorporating these newer solutions into their products, particularly if they believe their customers are satisfied with current solutions. In addition, delays in product development could impair our relationships with our customers and negatively impact sales of our solutions under development. Regardless of the improved features or superior performance of the newer solutions, customers may be unwilling to adopt our new solutions due to design or pricing constraints. If we or our customers are unable to manage product transitions in a timely and cost-effective manner, our business and results of operations would suffer.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Impacts of the global supply chain challenges could adversely affect our business, financial condition, and results of operations.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the COVID-19 global pandemic, various restrictions were put in place causing a temporary decline in demand for certain items. As restrictions began easing across the world, an increase in demand for products containing semiconductor chips exacerbated bottlenecks in the supply chain, resulting in a global semiconductor supply shortage impacting our industry, which resulted in a lengthening of the manufacturing lead time for our products and impacting the normal forecasting and ordering patterns of our customers. To the extent customers faced supply chain issues with respect to other components needed to pair with our products in order to produce their end products, such customers delayed orders of our products or held inventory of our products for longer periods of time, resulting in a decline in our revenue. Customers may experience or cause similar delays in the future. With respect to our suppliers, we experienced supply constraints for certain chips from Samsung Electronics Corporation (“Samsung”) and we may experience similar issues in the future. While these supply chain challenges have largely subsided, we remain dependent on a global supply chain that can be affected by many factors, including macroeconomic conditions and geopolitical factors such as trade wars and tariffs, and we may face similar issues in the future.</w:t>
      </w:r>
    </w:p>
    <w:p>
      <w:pPr>
        <w:spacing w:after="0" w:line="184"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 risks relating to the adoption, use or application of emerging technologies, including artificial intelligence, by our customers and in our business, could adversely impact our financial results and result in reputational harm and liability.</w:t>
      </w:r>
    </w:p>
    <w:p>
      <w:pPr>
        <w:spacing w:after="0" w:line="13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Many of our products support AI functionality implemented in our customers’ products, such as object detection, classification and tracking, image processing, and terrain mapping. Our latest generation of products also enable us to address computationally intense AI applications for deep fusion, deep planning, multi-modal vision-language models (VLMs), and large language models (LLMs) in edge devices. The adoption of AI solutions may not develop in the manner or in the time periods we anticipate and, as the markets for AI solutions are still developing, demand for these products may be unpredictable and vary significantly from one period to another. These factors may adversely impact demand for our AI related products. In addition, compliance with evolving government regulations worldwide related to AI may increase the costs related to the development of AI products and solutions and limit global adoption, which may also adversely impact demand for our AI related products.</w:t>
      </w:r>
    </w:p>
    <w:p>
      <w:pPr>
        <w:spacing w:after="0" w:line="18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Concerns relating to the responsible use of AI in our and our customers’ products may result in reputational and financial harm and liability. AI poses emerging ethical issues and presents risks and challenges that could affect its adoption, and therefore our business. If we or our customers enable or offer solutions that draw controversy due to their perceived or actual impact on society, such as AI solutions that have unintended consequences or are controversial, we may experience reputational harm, competitive harm, financial harm or legal liability.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Shortages in, or increased costs of, wafers and materials could adversely impact our gross margins and lead to reduced revenues.</w:t>
      </w:r>
    </w:p>
    <w:p>
      <w:pPr>
        <w:spacing w:after="0" w:line="229"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Worldwide manufacturing capacity for silicon wafers is relatively inelastic. If the demand for silicon wafers or assembly material exceeds market supply, our supply of silicon wafers or assembly material could quickly become limited or prohibitively expensive. Silicon wafers constitute a material portion of our product cost and if we are unable to purchase wafers at favorable prices, our results of operations and financial condition will be adversely affected. The semiconductor industry recently experienced significant shortages of manufacturing capacity, which resulted in a lengthening of the manufacturing lead time for our products and which has at times harmed our revenue. While this capacity shortage has improved, we may experience capacity restraints again in the future. We have also experienced, during times of supply chain capacity shortages, customers placing orders for our products that exceed their actual demand, which may lead to us manufacturing a surplus of products and could have a negative impact on our results of operations and cash reserves and lead to us and our customers having excess inventory.</w:t>
      </w:r>
    </w:p>
    <w:p>
      <w:pPr>
        <w:spacing w:after="0" w:line="188"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primary inventory warehouse is located in Hong Kong and may be affected by continued political, social, health and economic conditions in Hong Kong.</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2" w:name="page33"/>
    <w:bookmarkEnd w:id="32"/>
    <w:p>
      <w:pPr>
        <w:ind w:firstLine="509"/>
        <w:spacing w:after="0" w:line="253" w:lineRule="auto"/>
        <w:rPr>
          <w:sz w:val="20"/>
          <w:szCs w:val="20"/>
          <w:color w:val="auto"/>
        </w:rPr>
      </w:pPr>
      <w:r>
        <w:rPr>
          <w:rFonts w:ascii="Times New Roman" w:cs="Times New Roman" w:eastAsia="Times New Roman" w:hAnsi="Times New Roman"/>
          <w:sz w:val="18"/>
          <w:szCs w:val="18"/>
          <w:color w:val="auto"/>
        </w:rPr>
        <w:t>We operate a warehouse facility in Hong Kong through which the substantial majority of our finished SoCs are shipped to customers or our logistic partners. Hong Kong has experienced, and continues to experience, political unrest and social strife. The Bureau of Industry and Security, or BIS, of the U.S. Department of Commerce, or Commerce, imposes on Hong Kong the same stringent export and reexport controls applicable to China, including licensing requirements such as those applicable to SoCs and semiconductor end-uses. It is possible that the U.S. government may take future measures to impose stricter export controls or duties on shipments made to Hong Kong, which could harm our business, increase the cost of conducting our operations in Hong Kong or result in retaliatory actions against U.S. interests.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addition, we could be forced to relocate our warehouse operations, either temporarily or permanently, to another potentially costlier location (or a location resulting in higher tax costs) or find alternative potentially costlier methods of shipping our finished SoCs to customers and logistic partners.</w:t>
      </w:r>
    </w:p>
    <w:p>
      <w:pPr>
        <w:spacing w:after="0" w:line="188" w:lineRule="exact"/>
        <w:rPr>
          <w:sz w:val="20"/>
          <w:szCs w:val="20"/>
          <w:color w:val="auto"/>
        </w:rPr>
      </w:pPr>
    </w:p>
    <w:p>
      <w:pPr>
        <w:ind w:right="4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 markets may not grow or develop as we currently expect and are subject to market risks, any of which could harm our business, revenue and operating results.</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focusing our development resources on addressing computer vision applications, primarily in the automotive and IoT markets. The application of computer vision functionality in these markets is relatively new, and we may be unable to predict the timing or development of these markets with accuracy. For example, a slower than expected adoption rate for AI technology in automotive or IP security camera applications could slow the demand for our new solutions. Similarly, changes in the projected growth rate for ADAS or autonomous driving technology in the automotive market due to government regulations or changes in consumer preferences could negatively impact demand for our solutions. If our key target markets do not grow, grow slower, or do not develop in ways that we currently expect, demand for our SoCs may not materialize as expected, and our business and operating results could suffer.</w:t>
      </w:r>
    </w:p>
    <w:p>
      <w:pPr>
        <w:spacing w:after="0" w:line="185" w:lineRule="exact"/>
        <w:rPr>
          <w:sz w:val="20"/>
          <w:szCs w:val="20"/>
          <w:color w:val="auto"/>
        </w:rPr>
      </w:pPr>
    </w:p>
    <w:p>
      <w:pPr>
        <w:ind w:right="4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15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customers typically do not provide us with firm, long-term purchase commitments. A substantial majority of our sales are made on a purchase order basis, which customers may seek to cancel, change or delay their product purchase commitments with little or no notice to us. Because production lead times often exceed the amount of time required by our customers to fill their orders, we often must build SoCs in advance of receiving orders from customers, relying on an imperfect demand forecast to project volumes and product mix. As a result of a number of factors, including longer manufacturing times for our products and increased demand from customers during fiscal year 2023, we increased our inventory levels. While these factors have subsided and our inventory conditions have generally returned to normal level, we may experience similar inventory level fluctuations in the future.</w:t>
      </w:r>
    </w:p>
    <w:p>
      <w:pPr>
        <w:spacing w:after="0" w:line="18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changes in market conditions including reductions in market activity due to pandemics, adverse changes in our product order mix and fluctuating demand for our customers’ products. Even after an order is received, our customers may seek to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w:t>
      </w:r>
    </w:p>
    <w:p>
      <w:pPr>
        <w:spacing w:after="0" w:line="18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2025, the customer representing 10% or more of our revenue was WT Microelectronics Co., Ltd., or WT, which serves as our non-exclusive sales representative and fulfillment partner in Asia other than Japan, accounted for approximately 63% of total revenue. For the three months ended April 30, 2025, the customer representing 10% or more of our revenue was WT, which accounted for approximately 63% of total revenue. In addition, we believe that revenue from our top 10 end customers, either directly or through a distributor or an ODM, accounted for approximately 59% of our total revenue in fiscal year 2025 and accounted for approximately 64% of our total revenue for the three months ended April 30, 2025. We believe that our operating results in the near term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which has happened in the past.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w:t>
      </w:r>
    </w:p>
    <w:p>
      <w:pPr>
        <w:spacing w:after="0" w:line="193"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focused on selling our SoC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18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customers generally take a considerable amount of time to evaluate our solutions. The typical time from early engagement by our sales force to actual product introduction runs from 12 to 18 months for IoT markets and potentially significantly longer in the OEM automotive, robotics and industrial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spacing w:after="0" w:line="183"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1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333333"/>
        </w:rPr>
        <w:t>Prior to purchasing our products, some of our customers, particularly in the automotive market, may require that our products and our third-party contractors undergo extensive qualification processes, which involve testing of our products in the customers’ systems, as well as testing for reliability of our products and our supply chain. This qualification process may take several months and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 our products with customers in anticipation of sales. If we are unsuccessful or delayed in qualifying these products with a customer, sales of the products to the customer may be precluded or delayed, which may impede our growth and cause our business to suffer.</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4" w:name="page35"/>
    <w:bookmarkEnd w:id="3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expect competition to increase in the future, which could have an adverse effect on our revenue and market share.</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global semiconductor market in general, and the computer vision and video/image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greater resources, longer histories in these markets and established relationships with OEMs and ODMs. Increased competition could result in price pressure, reduced profitability and loss of market share, any of which could harm our business, revenue and operating results.</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competitors range from large, international companies with greater resources offering a wide range of semiconductor products to smaller, nimble companies specializing in narrow markets. In the IoT market, our primary competitors include AMLogic Inc., Fuzhou Rockchip Electronics Co., Ltd., HiSilicon Technologies Co., Ltd., or HiSilicon, which is owned by Huawei Technologies Co., Ingenic Semiconductor Co., Ltd., Novatek Microelectronics Corp., or Novatek, NVIDIA Corporation, or NVIDIA, OmniVision Technologies, Inc., Qualcomm Incorporated, or Qualcomm, SigmaStar Technology Corp., and Socionext Inc. In the automotive camera market, we compete against Allwinner Technology Co., Ltd., Horizon Robotics Inc., iCatch Technology, Inc., Mobileye, a subsidiary of Intel Corporation, Novatek, NVIDIA, NXP Semiconductors N.V., Qualcomm, Renesas Electronics Corporation, and Texas Instruments. 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19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75"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market and technology trends and successfully develop solutions that meet market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understand the price points and performance metrics of competing products in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performance and cost-effectiveness relative to that of competing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identifying and penetrating new markets, applications and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access to leading design tools and product specifications at the same time as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relationships with key OEMs and ODMs;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effective implementation of video processing or radar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 operations in a timely and cost-efficient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products in volume on a timely basis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support our customers’ incorporation of our solutions into their products; and</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design and application engineers with expertise in computer vision, video and image processing technologies and sales and marketing personnel.</w:t>
      </w:r>
    </w:p>
    <w:p>
      <w:pPr>
        <w:spacing w:after="0" w:line="162"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breach of our security systems may have a material adverse effect on our business.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security systems are designed to maintain the physical security of our facilities and information systems and protect our confidential information and that of our customers, suppliers and employees. Accidental or willful security breaches or incidents or other unauthorized access to our facilities or our information systems or the existence of computer viruses or other malicious code or security vulnerabilities in our data or software could expose us to a risk of loss, unavailability, misappropriation and other unauthorized processing of proprietary and confidential information. Our efforts to eliminate or alleviate cyber or other security problems, bugs, viruses, ransomware and other malicious software programs and security vulnerabilities could impose significant costs, may not be successful, and could result in interruptions and delays that may impede critical functions.</w:t>
      </w:r>
    </w:p>
    <w:p>
      <w:pPr>
        <w:spacing w:after="0" w:line="187"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Security breaches and incidents, computer malware and computer hacking attacks have become more prevalent and sophisticated. These threats are constantly evolving, making it difficult to defend against or implement preventive measures, and we may face difficulties or delays in identifying and otherwise responding to any security breach or incident. Moreover, remote work by our personnel and remote access to our systems increase our cybersecurity risk profile. We expect to incur significant costs in an effort to detect and prevent security breaches and incidents, and any actual or perceived security breach or incident may require us to incur significant costs in notifying relevant persons and entities and may otherwise increase our costs and require us to expend substantial resources. Our policies and security measures cannot guarantee security, and our information technology (IT) infrastructure, including our networks and systems, may be vulnerable to security breaches and incidents, cyber-attacks, or fraud. Third parties have attempted, and will likely continue to attempt, to penetrate and/or infect our network and systems with malicious software and phishing attacks in an effort to gain access to our network and systems. Hackers or others may be able to penetrate our security controls, misappropriate or compromise our confidential information or that of third parties, deploy viruses, worms, ransomware or other malicious code, or cause damage or disruptions to our IT infrastructure. For portions of our IT infrastructure, we rely on offerings provided by third parties. These third-party offerings relate to, among other things, human resources, electronic communication services and some finance functions, and we are dependent on these third parties' security systems. These third parties are subject to similar, and in certain cases greater, security threats than we face. These third parties may also experience breaches, incidents, and attacks compromising or otherwise impacting their offerings, and their offerings may contain security vulnerabilities or malicious code, or otherwise detrimentally impact our systems. Any unauthorized access to, or other security breaches or incidents impacting, the systems of our service providers, or any computer viruses, ransomware or other malicious code in their data or software, could expose us to risks of unauthorized access to our IT infrastructure and loss, misappropriation, unavailability and other unauthorized processing of information. Security breaches and incidents may also result from non-technical means, such as employee or contractor malfeasance or negligence. Any security breach or incident or theft, misuse, loss, unavailability or other unauthorized processing of information, or the perception that any of these matters has occurred, could result in, among other things, damage to our reputation, allegations by our customers that we have not performed our contractual obligations, regulatory investigations and other proceedings, litigation and possible penalties, damages, and other liabilities, any of which could have a material adverse effect on our business, financial condition, our reputation, and our relationships with our customers and partners. We may also encounter or be subject to bugs, errors, or hacking or other events resulting in system interruptions or other disruptions, corruption or loss of data, an inability to accurately process or record transactions, and security or technical reliability issues. All of these could harm our ability to conduct core operating functions and could impact our internal control compliance efforts. Due to conflicts and geopolitical events, we and many third parties we work with are vulnerable to a heightened risk of cybersecurity attacks, and other means of causing security breaches and incidents from nation-state and affiliated actors.</w:t>
      </w:r>
    </w:p>
    <w:p>
      <w:pPr>
        <w:spacing w:after="0" w:line="204" w:lineRule="exact"/>
        <w:rPr>
          <w:sz w:val="20"/>
          <w:szCs w:val="20"/>
          <w:color w:val="auto"/>
        </w:rPr>
      </w:pPr>
    </w:p>
    <w:p>
      <w:pPr>
        <w:ind w:right="260" w:firstLine="509"/>
        <w:spacing w:after="0" w:line="289" w:lineRule="auto"/>
        <w:rPr>
          <w:sz w:val="20"/>
          <w:szCs w:val="20"/>
          <w:color w:val="auto"/>
        </w:rPr>
      </w:pPr>
      <w:r>
        <w:rPr>
          <w:rFonts w:ascii="Times New Roman" w:cs="Times New Roman" w:eastAsia="Times New Roman" w:hAnsi="Times New Roman"/>
          <w:sz w:val="17"/>
          <w:szCs w:val="17"/>
          <w:color w:val="auto"/>
        </w:rPr>
        <w:t>Additionally, we cannot be certain that our insurance coverage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these results could adversely affect our business, financial condition, and operating results.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6" w:name="page37"/>
    <w:bookmarkEnd w:id="36"/>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semiconductor industry requires substantial investment in research and development in order to bring to market new and enhanced solutions. Our research and development expense was approximately $226.1 million, $215.1 million and $204.9 million in fiscal years 2025, 2024 and 2023, respectively. For the three months ended April 30, 2025, our research and development expense was approximately $58.8 million. In general, we expect to increase our research and development expenditures in future periods as compared to prior periods as part of our strategy of focusing on the development of innovative computer vision, video and image processing solutions with increased functionality, and as we target key markets, such as the automotive OEM and robotics markets. We are unable to predict whether we will have sufficient resources to achieve the level of investment in research and development required to remain competitive. For example, development in the latest process nodes, such as 5 nanometer, or nm, or smaller, costs significantly more than required to develop in larger process nodes, such as 14 or 10nm.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 In addition, the U.S. government recently introduced regulations that require notification of, or prohibit certain transactions with entities in China or with linkages to China, which could apply to certain intracompany activities between a U.S. based corporation and its China subsidiaries that support research and development activities, which could limit our ability to carry out certain research and development activities in China.</w:t>
      </w:r>
    </w:p>
    <w:p>
      <w:pPr>
        <w:spacing w:after="0" w:line="183"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hire, retain or motivate key personnel, we may not be able to grow effectively, which could harm our business.</w:t>
      </w:r>
    </w:p>
    <w:p>
      <w:pPr>
        <w:spacing w:after="0" w:line="15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believe our performance depends in large part on the talents and efforts of our senior management and other highly skilled individuals. Our future success depends on our continuing ability to identify, hire, develop, motivate, and retain highly skilled personnel for all areas of our organization. Our industry is characterized by high demand and intense competition for talent, particularly for engineering personnel. The pool of qualified candidates is limited, particularly in Silicon Valley and parts of Asia for very-large-scale integration, or VLSI, and artificial intelligence and computer vision engineers, and certain of our competitors and potential competitors with greater resources have directly targeted our employees. In addition, we also face competition in hiring artificial intelligence engineers, including from companies with which we do not directly compete. Our compensation arrangements, such as our equity award programs, may not always be successful in attracting new employees and retaining and motivating our existing senior executives and employees. Our continued ability to compete effectively, and to grow our business, depends on our ability to attract new employees and to retain and motivate our existing senior executives and employees.</w:t>
      </w:r>
    </w:p>
    <w:p>
      <w:pPr>
        <w:spacing w:after="0" w:line="184"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semiconductor solutions in our target markets have typically decreased over time and will likely do so in the future, which could harm our revenue and gross margins.</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Average selling prices of semiconductor products in the markets we serve have historically decreased over time, and we expect such declines to occur for our solutions over time. Our gross margins and financial results will suffer if we are unable to offset reductions in our average selling prices by reducing our costs, developing new or enhanced SoC solutions, such as our new AI computer vision-based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 factors. We expect that we will have to address pricing pressures again in the future, particularly in markets experiencing consolidation, which could require us to reduce the prices of our SoC solutions and harm our operating results.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any future growth, we may not be able to execute our business plan and our operating results could suffer.</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business has, at times,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7" w:name="page38"/>
    <w:bookmarkEnd w:id="37"/>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are likely to incur the costs associated with any increased investments earlier than some of the anticipated benefits, and the return on these investments, if any, may be lower, may develop more slowly than we expect or may not materialize. 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Deterioration of the financial conditions of our customers could adversely affect our operating results.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Deterioration of the financial condition of our distributors or customers could adversely impact our future revenues and collection of accounts receivable. For the fiscal year ended January 31, 2025, the customer representing 10% or more of revenue was WT, which accounted for approximately 63% of total revenue. As of January 31, 2025, accounts receivable with WT was approximately $12.3 million. For the three months ended April 30, 2025, the customer representing 10% or more of revenue was WT, which accounted for approximately 63% of total revenue. As of April 30, 2025, accounts receivable with WT was approximately $13.5 million. We regularly review the collectability and creditworthiness of our distributors and customers to determine an appropriate allowance for credit losses. Based on our review of our distributors and customers, we currently have only immaterial reserves for uncollectible accounts. If our uncollectible accounts, however, were to exceed our current or future allowance for credit losses, our operating results and cash flows would be negatively impacted.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semiconductor industry.</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Cyclical downturns have been characterized by diminished product demand, production overcapacity, high inventory levels and accelerated erosion of average selling prices, which could harm our business and operating results. We are dependent on the availability of third-party foundry and assembly capacity to manufacture and assemble our SoC solutions. None of our third-party foundry or assembly contractors has provided assurances that adequate capacity will be available to us in the future. The semiconductor industry recently experienced significant shortages of capacity, which resulted in a lengthening of the manufacturing lead time for our products. Such capacity shortages could negatively impact our ability to meet our customers’ demand for our products and have an adverse impact on our revenue, results of operations and customer relationships. We have also experienced, during times of supply chain capacity shortage, customers placing orders for our products that exceed their actual demand, which may lead to us manufacturing a surplus of products and could have a negative impact on our results of operations and cash reserves. Recent supply chain challenges have subsided, we may face similar supply chain challenges in future periods. Challenges may recur in future periods with changes in the macro-economic environment, including imposition of higher or additional tariffs by the U.S. Government on imports and new or additional restrictions on exports to foreign locations.</w:t>
      </w:r>
    </w:p>
    <w:p>
      <w:pPr>
        <w:spacing w:after="0" w:line="186" w:lineRule="exact"/>
        <w:rPr>
          <w:sz w:val="20"/>
          <w:szCs w:val="20"/>
          <w:color w:val="auto"/>
        </w:rPr>
      </w:pPr>
    </w:p>
    <w:p>
      <w:pPr>
        <w:jc w:val="both"/>
        <w:ind w:right="1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1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spacing w:after="0" w:line="184"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8" w:name="page39"/>
    <w:bookmarkEnd w:id="38"/>
    <w:p>
      <w:pPr>
        <w:ind w:firstLine="509"/>
        <w:spacing w:after="0" w:line="254" w:lineRule="auto"/>
        <w:rPr>
          <w:sz w:val="20"/>
          <w:szCs w:val="20"/>
          <w:color w:val="auto"/>
        </w:rPr>
      </w:pPr>
      <w:r>
        <w:rPr>
          <w:rFonts w:ascii="Times New Roman" w:cs="Times New Roman" w:eastAsia="Times New Roman" w:hAnsi="Times New Roman"/>
          <w:sz w:val="18"/>
          <w:szCs w:val="18"/>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may face difficulties, delays and increased expense as we transition our products to new processes, such as the 2nm process node, and potentially to new foundries. We currently depend on Samsung, as the principal foundry for our products, to transition to new processes successfully. We cannot assure you that Samsung will be able to effectively manage such transitions or that we will be able to maintain our relationship with Samsung or develop relationships with new foundries. Moreover, as we utilize more advanced process nodes beyond 5nm, we are increasingly dependent upon a very small number of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industry standards could make our video and image processing solutions obsolete, which would cause our operating results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suffer.</w:t>
      </w:r>
    </w:p>
    <w:p>
      <w:pPr>
        <w:spacing w:after="0" w:line="20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design our solutions to conform to video compression standards, including MPEG-2, H.264 Advanced Video Coding (AVC) and H.265 High Efficiency Video Coding (HEVC), set by industry standards setting bodies such as ITU-T Video Coding Experts Group and the ISO/IEC Moving Picture Experts Group. In addition, new or revised industry standards relating to AI technologies may impose additional requirements. Generally, our solutions comprise only a part of a camera device. All components of these devices must uniformly comply with industry standards in order to operate efficiently together.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w:t>
      </w:r>
    </w:p>
    <w:p>
      <w:pPr>
        <w:spacing w:after="0" w:line="184"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5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research and development design centers and business development offices in China, Germany, Italy, Japan,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79"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complexity and costs of managing international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difficult collection of receivables from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contracts generally;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economic instability;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and military conflicts, including the ongoing conflicts in Ukraine and the Middle East;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of our intellectual property and other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 and unanticipated changes in local laws and regulations, including tax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foreign exchange restrictions and higher and/or additional tariffs;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availability of import and export licenses and other governmental approvals, permits and licenses, including export classification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fluctuations relating to our international operating activities;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the U.S. government on our ability to do business with certain companies or in certain countries as a result of international political conflicts;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9" w:name="page40"/>
    <w:bookmarkEnd w:id="39"/>
    <w:p>
      <w:pPr>
        <w:ind w:left="1020" w:right="1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other consequences of limited local infrastructure, and disruptions, such as large-scale outages or interruptions of service from utilities or telecommunications providers;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terrorist 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standards and practices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relations;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health issues, pandemics, and natural disasters;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complexity of calculating our tax provision may result in errors that could result in restatements of our financial statements.</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incorporated in the Cayman Islands and our operations are subject to income and transaction taxes in the United States, China, Hong Kong, Germany, Italy, Japan,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The risk of errors may be exacerbated by the significant number of tax law changes recently enacted in the United States and other jurisdictions. Restatements are generally costly and could adversely impact our results of operations or have a negative impact on the trading price of our ordinary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Performance or Results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operating results on a quarterly and annual basis could cause the market price of our ordinary shares to decline.</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revenue and operating results have fluctuated significantly from period to period in the past and are likely to do so in the future. As a result, you should not rely on period-to-period comparisons of our operating results as an indication of our future performance. It is also possible that our normal seasonal patterns will be impacted by ongoing macroeconomic uncertainty, future pandemics or disease outbreaks, supply chain disruptions and semiconductor capacity shortages, including the buildup of inventory by customers in response to such shortages, and continued high inflation. In future periods, our forecasted or actual revenue and results of operations may be below the expectations of analysts and investors, which could cause the market price of our ordinary shares to decline.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affect our operating results include:</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sales cycles, product mix, and prices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forecasting, scheduling, rescheduling or cancellation of orders by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consumer or manufacturer preferences and any resultant change in demand for our customers’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markets, including new entrants or pricing pressures;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customers’ ability to manufacture and ship products that incorporate our solutions caused by internal and external factors beyond our control;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define, design and release new solutions in a timely manner that meet our customers’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availability of adequate manufacturing capacity from our manufacturing subcontractors;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manufacturing costs, including wafer, test and assembly costs, mask costs, manufacturing yields and product quality and reliability;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announcements by our competitors or by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research and development and related new products expenditures;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inventory for excess quantities and technological obsolescence;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investment or other asset values;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and changes in accounting policies;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0" w:name="page41"/>
    <w:bookmarkEnd w:id="40"/>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share price, which may lead to higher stock-based compensation expense;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effective tax rate;</w:t>
      </w:r>
    </w:p>
    <w:p>
      <w:pPr>
        <w:spacing w:after="0" w:line="117" w:lineRule="exact"/>
        <w:rPr>
          <w:rFonts w:ascii="Times New Roman" w:cs="Times New Roman" w:eastAsia="Times New Roman" w:hAnsi="Times New Roman"/>
          <w:sz w:val="18"/>
          <w:szCs w:val="18"/>
          <w:color w:val="auto"/>
        </w:rPr>
      </w:pPr>
    </w:p>
    <w:p>
      <w:pPr>
        <w:ind w:left="1020" w:right="280" w:hanging="503"/>
        <w:spacing w:after="0" w:line="312"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socioeconomic and political conditions in the countries where we operate or where our products are sold or used, including recent macroeconomic volatility, pandemics or widespread public health problems, U.S.-China relations and the conditions in Hong Kong; and</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litigation, especially related to intellectual property.</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Moreover, the semiconductor industry has historically been cyclical in nature, reflecting overall economic conditions as well as budgeting and buying patterns of consumers. For example, the semiconductor industry recently experienced significant shortages of capacity, which resulted in a lengthening of the manufacturing lead time for our products and could be impacting the normal forecasting and ordering patterns of our customers. In recent periods, some customers have indicated they are reducing their inventory levels as lead times for semiconductor chips and other components used by customers shrink, which has reduced, and may continue to reduce, such customers’ demand for our products in future periods.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profitability and cash flows, or incur losses.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do not generate revenue growth, we may not be able to execute our business plan and our operating results could suffer.</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believe that our future revenue growth, if any, will significantly depend on our ability to expand within our existing IoT camera markets, such as the existing professional and home security and monitoring camera markets, and successfully penetrate new markets, such as the OEM automotive, robotics and industrial markets, with our new AI computer vision-based SoC solutions. We believe that executing upon our business plan requires us to continue to develop new SoCs and new software to address the particular requirements of these markets. Accordingly, we continue to invest in the development of new technology and solutions and expect our research and development expenditures to increase compared to prior periods. If we are unable to generate or maintain adequate revenue growth, our financial results could suffer and we may not be able to continue to invest in the development of new technology and solutions required to be successful.</w:t>
      </w:r>
    </w:p>
    <w:p>
      <w:pPr>
        <w:spacing w:after="0" w:line="185"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between and among the currencies of the countries in which we do business may adversely affect our operating results.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customers located outside the United States, primarily in Asia and we anticipate that this will continue. Sales to customers in Asia accounted for approximately 85%, 79% and 79% of our total revenue in fiscal years 2025, 2024 and 2023, respectively. For the three months ended April 30, 2025, sales to customers in Asia accounted for approximately 82% of total revenue.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19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 significant number of our employees are located in Asia, principally Taiwan and China, and Europe. Therefore, a portion of our payroll as well as certain other operating expenses are paid in currencies other than the U.S. dollar, such as the New Taiwan Dollar, the Chinese Yuan Renminbi and the Eurozone Euro.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between the New Taiwan Dollar and the U.S. dollar, and between the Eurozone Euro and the U.S. dollar, have been volatile in the recent past and these currency fluctuations may make it difficult for us to predict our operating results.</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1" w:name="page42"/>
    <w:bookmarkEnd w:id="4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our future capital needs, and we may not be able to obtain additional financing to fund our operations.</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88" w:lineRule="exact"/>
        <w:rPr>
          <w:sz w:val="20"/>
          <w:szCs w:val="20"/>
          <w:color w:val="auto"/>
        </w:rPr>
      </w:pPr>
    </w:p>
    <w:p>
      <w:pPr>
        <w:ind w:right="6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marketable securities portfolio could experience a decline in market value or otherwise become illiquid, which could materially and adversely affect our financial results.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April 30, 2025, we had approximately $118.1 million invested in marketable debt securities. The debt security investments primarily consisted of commercial paper, corporate bonds, asset-backed securities and U.S. government securities.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pandemics or widespread public health problems, the Eurozone crisis, the U.S. debt ceiling crisis, and imposition of tariffs, which affected various sectors of the financial markets and led to global credit and liquidity issues. We regularly maintain cash balances that are not insured or are in excess of the Federal Deposit Insurance Corporation’s (FDIC) insurance limit. If the global financial markets continue to experience volatility or deteriorate, our investment portfolio may be impacted and some or all of our investments may become illiquid or otherwise experience loss which could adversely impact our financial results and position. To the extent that we increase the amount of our security investments in the future, these risks would be exacerbated.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20"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3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Final testing of all of our products is handled by Sigurd Corporation or King Yuan Electronics Co., Ltd. under the supervision of our engineers. We depend on these third parties to supply us with material of a requested quantity in a timely manner that meets our standards for yield, cost and manufacturing quality. Moreover, because each SoC is fabricated in only one manufacturing facility, or single sourced, any disruption to a facility could cause significant delays in the production or shipment of the products produced in that facility that could not be easily offset by having such product(s) produced in another facility.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spacing w:after="0" w:line="19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2" w:name="page43"/>
    <w:bookmarkEnd w:id="42"/>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We have experienced and may again experience in the future supply constraints at our primary foundry and assembly vendors resulting from industry wide supply chain challenges.</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10nm or 5nm.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foundry vendors do not achieve satisfactory yields or quality, our reputation and customer relationships could be harmed.</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18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We do not seek to maintain sufficient inventory to address a lengthy transition period because we believe it is uneconomical. As a result, we may not be able to meet customer needs during such a transition, which could result in a decline in our sales, negatively impact our financial results and damage our customer relationships.</w:t>
      </w:r>
    </w:p>
    <w:p>
      <w:pPr>
        <w:spacing w:after="0" w:line="179"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incorporate components supplied by multiple third parties, and a supply shortage or delay in delivery of these components could delay orders for our solutions by our customers.</w:t>
      </w:r>
    </w:p>
    <w:p>
      <w:pPr>
        <w:spacing w:after="0" w:line="15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customers purchase components used in the manufacture of their products from various sources of supply, often involving several specialized components, including lenses, sensors, microcontrollers, power management integrated circuits (PMICs), Wi-Fi chips,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ind w:right="5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15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sell a significant percentage of our solutions through a single distributor, WT, which serves as our non-exclusive sales representative and fulfillment partner in Asia other than Japan. Approximately 63%, 53% and 57% of our revenue was derived from sales through WT for the fiscal years ended January 31, 2025, 2024 and 2023, respectively, and approximately 63% of our revenue was derived from sales through WT for the three months ended April 30, 2025.We anticipate that a significant portion of our revenue will continue to be derived from sales through WT in the foreseeable future. Our current agreement with WT is effective until January 2026, unless it is terminated earlier by either party for any or no reason with 60 days written notice or by failure of the breaching party to cure a material breach within 30 days following written notice of such material breach by the non-breaching party. Our agreement with WT will automatically renew for additional successive 12-month terms unless at least 60 days before the end of the then-current term either party provides written notice to the other party that it elects not to renew the agreement. Termination of the relationship with WT, either by us or by WT,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WT, or any successor or other distributors we do business with, may face issues obtaining credit, which could impair their ability to make timely payments to us.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distributors' product inventories.</w:t>
      </w:r>
    </w:p>
    <w:p>
      <w:pPr>
        <w:spacing w:after="0" w:line="22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In accordance with ASC 606,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w:t>
      </w:r>
    </w:p>
    <w:p>
      <w:pPr>
        <w:spacing w:after="0" w:line="183"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vendors to supply software development tools to us for the development of our new products, and we may be unable to obtain the tools necessary to develop or enhance new or existing products.</w:t>
      </w:r>
    </w:p>
    <w:p>
      <w:pPr>
        <w:spacing w:after="0" w:line="15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spacing w:after="0" w:line="176" w:lineRule="exact"/>
        <w:rPr>
          <w:sz w:val="20"/>
          <w:szCs w:val="20"/>
          <w:color w:val="auto"/>
        </w:rPr>
      </w:pPr>
    </w:p>
    <w:p>
      <w:pPr>
        <w:ind w:right="5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4" w:name="page45"/>
    <w:bookmarkEnd w:id="44"/>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184"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disruption to the operations of our third-party contractors and their suppliers could cause significant delays in the production or shipment of our products.</w:t>
      </w:r>
    </w:p>
    <w:p>
      <w:pPr>
        <w:spacing w:after="0" w:line="159"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Our operations could be harmed if manufacturing, logistics or other operations of our third-party contractors or their suppliers are disrupted for any reason, including natural disasters, high heat events or water shortages, severe storms, other negative impacts from climate change, information technology system failures, military actions or environmental, public health or regulatory issues. 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We have had disruptions in the past due to natural disasters disrupting the operations of our suppliers and this could happen again.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25"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and political conditions, including high inflation, recessionary concerns and trade restrictions, may have an impact on our business and financial condition in ways that we currently cannot predict.</w:t>
      </w:r>
    </w:p>
    <w:p>
      <w:pPr>
        <w:spacing w:after="0" w:line="15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operations and performance depend significantly on global, regional and U.S. economic and geopolitical conditions. Customer demand for our solutions may be negatively impacted by weak economic conditions, high inflation or recessionary environments in the US and other nations. Inflation or other deteriorations in global economic conditions may impact our operating expenses and third parties may demand pricing accommodations, which could harm our ability to meet customer demands or collect revenue or otherwise harm our business and financial results.</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General trade tensions between the United States and China have been escalating, which has, in our view, created and will perpetuate an uncertain business environment. Tariffs on Chinese-origin products increased and may do so further. The specific duty rates have fluctuated, with the United States imposing, revoking, and postponing various tariffs. Similarly, China has taken measures in response, including increased tariffs on U.S. products and the imposition of new export controls on rare earth metals, critical minerals, and other items. Though certain items have been exempted from some of these recent U.S. tariff actions, including computers, semiconductors and other consumer electronics, the risk of additional U.S. tariffs has materially increased in light of recent comments and new Section 232 investigations opened by the U.S. presidential administration.</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Additionally, in 2022, the U.S. government announced new controls restricting the ability to send certain products and technology related to semiconductors, semiconductor manufacturing, advanced computing, supercomputing, and artificial intelligence to China, including Hong Kong, without an export license. In many cases, these licenses are subject to a policy of denial and will not be issued. These controls have continued to expand. While our current products are not restricted by these controls, such controls could impact our ability to export products to China in the future. It also is possible that the Chinese government will retaliate in ways that could impact our business. End-user and end-use restrictions continue to evolve and may change what we can provide to certain entities both in China and other countries.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5" w:name="page46"/>
    <w:bookmarkEnd w:id="45"/>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to negative impacts from existing tariffs and trade restrictions, if additional tariffs or trade restrictions are imposed on our SoC solutions or the products of our customers, or trade restrictions are imposed on our ability to conduct business with certain customers, there could be a negative impact on our operations and financial performance.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A large portion of our employee base is in China and impacts to our China offices could significantly harm our operations, make it difficult to support customers and negatively impact product development. The materialization of these risks could have a material adverse effect on our business and financial condition. Further, our business and performance are subject to economic conditions, and our suppliers, distributors, and customers may suffer their own financial and economic challenges.</w:t>
      </w:r>
    </w:p>
    <w:p>
      <w:pPr>
        <w:spacing w:after="0" w:line="19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U.S. government recently introduced regulations that require notification of or prohibit certain transactions by the Company with entities in China or with linkages to China. These regulations could apply to certain intracompany activities with our China subsidiary or other activities with entities in China or with linkages to China. These regulations could also limit the ability of others to transact certain business with the Company if those transactions involve or benefit, directly or indirectly our operations in China.</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Russia’s ongoing conflict with Ukraine has triggered significant sanctions from U.S. and European leaders. Changes in U.S. trade policy could trigger retaliatory actions by Russia, its allies and other affected countries, including China, resulting in a trade war. These sanctions and restrictions have continued to increase as the conflict has further escalated, and the United States and other countries could impose wider sanctions and export restrictions and take other actions in the future that could impact our business. Furthermore, if the conflict between Russia and Ukraine continues, or if other countries, including the U.S., become further involved in the conflict, we could face significant adverse effects to our business and financial condition.</w:t>
      </w:r>
    </w:p>
    <w:p>
      <w:pPr>
        <w:spacing w:after="0" w:line="183"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We have significant business operations in Taiwan, including 350 employees as of April 30, 2025, and many of our third-party manufacturing suppliers are located in Taiwan. Accordingly, our business, financial condition and results of operations may be affected by changes in governmental and economic policies in Taiwan, social instability and diplomatic and social developments in or affecting Taiwan due to its international political status. Although significant economic and cultural relations have been established between Taiwan and China, we cannot assure that relations between Taiwan and China will not face political or economic uncertainties in the future. Any deterioration in the relations between Taiwan and China, and other factors affecting military, political or economic conditions in Taiwan, could disrupt our business operations and materially and adversely affect our results of operations.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to several China customers has been restricted.</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Several of our customers, including Hangzhou Hikvision Digital Technology Co., Ltd, or Hikvision, Zhejiang Dahua Technology Co., Ltd., or Dahua, and affiliates of Shenzhen Dajiang Baiwang Technology Co., Ltd., have been added to the BIS Entity List, which imposes limitations on the supply of U.S. controlled items to the listed entities. These customers may seek to obtain similar or substitute products from our competitors that are not subject to these limitations, or to develop similar or substitute products themselves. We also cannot be certain what additional actions the U.S. government may take with respect to any of our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or of any additional governmental actions, any of which could have a long-term adverse effect on our business, operating results and financial condition.</w:t>
      </w:r>
    </w:p>
    <w:p>
      <w:pPr>
        <w:spacing w:after="0" w:line="190"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15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warranty and product liability claims and to product recalls.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laws, regulations and other legal obligations related to privacy, data protection and cybersecurity.</w:t>
      </w:r>
    </w:p>
    <w:p>
      <w:pPr>
        <w:spacing w:after="0" w:line="229" w:lineRule="exact"/>
        <w:rPr>
          <w:sz w:val="20"/>
          <w:szCs w:val="20"/>
          <w:color w:val="auto"/>
        </w:rPr>
      </w:pPr>
    </w:p>
    <w:p>
      <w:pPr>
        <w:jc w:val="both"/>
        <w:ind w:right="80" w:firstLine="509"/>
        <w:spacing w:after="0" w:line="272" w:lineRule="auto"/>
        <w:rPr>
          <w:sz w:val="20"/>
          <w:szCs w:val="20"/>
          <w:color w:val="auto"/>
        </w:rPr>
      </w:pPr>
      <w:r>
        <w:rPr>
          <w:rFonts w:ascii="Times New Roman" w:cs="Times New Roman" w:eastAsia="Times New Roman" w:hAnsi="Times New Roman"/>
          <w:sz w:val="17"/>
          <w:szCs w:val="17"/>
          <w:color w:val="auto"/>
        </w:rPr>
        <w:t>The legislative and regulatory framework for privacy, data protection and cybersecurity issues worldwide is rapidly evolving and is likely to remain uncertain for the foreseeable future. We collect and otherwise process personal information and other data as part of our business processes and activities. These actions are subject to a variety of U.S. and international laws and regulations, and oversight by various regulatory or other governmental bodies.</w:t>
      </w:r>
    </w:p>
    <w:p>
      <w:pPr>
        <w:spacing w:after="0" w:line="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Many foreign countries and governmental bodies, including China, the European Union and other relevant jurisdictions where we conduct business, have laws and regulations concerning these matters that are more restrictive than those in the U.S. For example, the European Union has adopted the General Data Protection Regulation, or GDPR, which imposed stringent data protection requirements and provided for substantial penalties for noncompliance, including the potential for fines of up to €20 million or 4% of the annual global revenues of the noncompliant entity, whichever is greater. The United Kingdom has adopted legislation that substantially implements the GDPR and provides for a similar penalty structure. Similarly, California has adopted the California Consumer Privacy Act of 2018, or CCPA, which took effect in 2020. The CCPA was modified by the California Privacy Rights Act of 2020, which became effective on January 1, 2023. Numerous other U.S. states have proposed, and in certain cases enacted privacy laws, many of which are similar to the CCPA.</w:t>
      </w:r>
    </w:p>
    <w:p>
      <w:pPr>
        <w:spacing w:after="0" w:line="19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2021, the National People’s Congress passed the Data Security Law of the People’s Republic of China (Data Security Law) and China’s Personal Information Protection Law (PIPL). The Data Security Law is the first comprehensive data security legislation in China and aims to regulate a wide range of issues in relation to the collection, storage, processing, use, provision, transaction and publication of any kind of data. The PIPL is the first national-level law comprehensively regulating issues in relation to personal information protection in China, and provides for substantial fines and other remedies. The Data Security Law contains provisions that allow substantial government oversight and includes fines for failure to obtain required approval from China’s cyber and data protection regulators for cross-border personal information-related data transfers.</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Aspects of laws and regulations relating to privacy, data protection and cybersecurity, and their interpretation and enforcement, remain unclear, and these laws and regulations, as well as relevant industry standards or other actual or asserted obligations, may be interpreted or applied in a manner that is inconsistent with our practices or the features of our products or solutions. We may find it necessary to modify our products, solutions or practices and to incur substantial costs and expenses in an effort to comply. Further, in the event of any actual or alleged failure to comply with such laws, regulations, industry standards or other actual or asserted obligations, we could face fines, lawsuits, regulatory investigations, and other claims and penalties, and we could be required to fundamentally change our products or our business practices, which could have an adverse effect on our business. Any inability, or perceived inability, to adequately address privacy, data protection or cybersecurity concerns, or to comply with applicable laws, regulations, industry standards, or other actual or asserted obligations relating to these matters, even if unfounded, could result in additional cost and liability to us, inhibit sales, damage our reputation and adversely affect our business.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15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face significant risks if we fail to comply with the FCPA and other anti-corruption laws that prohibit improper payments or offers of payment. Anti-corruption and anti-bribery laws have been enforced aggressively in recent years and are interpreted broadly to generally prohibit companies, their employees, agents, representatives, distributors, business partners, and third-party intermediaries from authorizing, offering, or providing, directly or indirectly, improper payments or benefits to recipients in the public or private sector. In many foreign countries, particularly in countries with developing economies, it may be a local custom that businesses operating in such countries engage in business practices that are prohibited by the FCPA or other applicable laws and regulations.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Although we implemented an anti-corruption compliance program, we cannot assure you that none of our employees, agents, representatives, distributors, business partners or third-party intermediaries will take actions in violation of our policies and applicable law, for which we may be ultimately held responsible. Any allegations or violation of the FCPA or other applicable anti-corruption laws could result in whistleblower complaints, investigations, enforcement actions, severe criminal or civil sanctions, fines, adverse media coverage, and suspension or debarment from U.S. government contracting, all of which could have an adverse effect on our reputation, business, financial condition, operating results and cash flows. Responding to any investigation or action will likely result in a materially significant diversion of management’s attention and resources and significant defense costs and other professional fees.</w:t>
      </w:r>
    </w:p>
    <w:p>
      <w:pPr>
        <w:spacing w:after="0" w:line="185" w:lineRule="exact"/>
        <w:rPr>
          <w:sz w:val="20"/>
          <w:szCs w:val="20"/>
          <w:color w:val="auto"/>
        </w:rPr>
      </w:pPr>
    </w:p>
    <w:p>
      <w:pPr>
        <w:ind w:right="5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15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8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Failure to comply with these and similar laws and regulations could subject us to fines, penalties, civil or criminal sanctions, contract damage claims, and take-back of non-compliant products, which could harm our business, reputation and operating results. Similarly,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176"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Global Select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184"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applicable tax laws, or effective tax rates or adverse outcomes resulting from examination of our tax returns could adversely affect our results.</w:t>
      </w: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48" w:name="page49"/>
    <w:bookmarkEnd w:id="48"/>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Our operations are subject to certain taxes, such as income and transaction taxes in the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transfer pricing adjustments, re-organization or restructuring of our businesses, changes in our corporate structure, including the effect of acquisitions on our legal structure, by tax costs related to intercompany realignments, tax effects of share-based compensation, expiration of or lapses in tax incentives, or by changes in tax laws, regulations, accounting principles or interpretations thereof.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19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Changes in applicable laws could cause us to experience fluctuations in our tax obligations and effective tax rates and otherwise adversely affect our tax positions and/or our tax liabilities. For example, in August 2022, the U.S. enacted the Inflation Reduction Act of 2022, or IRA, which includes a new 15% corporate minimum tax as well as a 1% excise tax on the fair value of corporate stock repurchases made by U.S. corporations and certain foreign corporations after December 31, 2022. We do not expect the IRA to have a material impact on our financial statements.</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December 2018, the Cayman Islands passed the International Tax Co-Operation (Economic Substance) Law, 2018, which requires Cayman Islands companies carrying on one or more relevant activities to maintain a substantial economic presence in the Cayman Islands. Effective from December 31, 2019, we have structured our activities to comply with the new law. However, the legislation remains subject to further clarification and interpretation and accordingly, there is no guarantee that we will be deemed to be compliant. Furthermore, this legislation may require us to make additional changes to the activities we carry on in the Cayman Islands, which could increase our cost of operations, and we could be subject to penalties for lack of compliance. As a result, we are not able to determine the impact on our operations and net income as of the current period.</w:t>
      </w:r>
    </w:p>
    <w:p>
      <w:pPr>
        <w:spacing w:after="0" w:line="18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the Organization for Economic Co-operation and Development has been working on a Base Erosion and Profit Shifting Project and has been issuing guidelines and proposals covering a number of issues, including country-by-country reporting, permanent establishment rules, transfer pricing rules and tax treaties. Many of these changes have been or are in the process of being adopted by numerous countries and could materially and adversely affect our provision for income taxes. One proposal, which has been enacted or is being considered by many jurisdictions, is a framework that ensures an effective global minimum tax rate of 15% on certain multinationals that meet a consolidated revenues threshold of EUR 750 million or equivalent annually (“Pillar Two”). The Company believes that its consolidated revenues have not exceeded the relevant annual threshold. In addition, the U.S. has withdrawn support for Pillar Two and has indicated that it may take action against countries with tax laws that disproportionately impact U.S. businesses, which may result in retaliatory taxes or other retaliatory actions against U.S. businesses. Additional changes to global tax laws are likely to occur, and such changes may adversely affect our effective tax rate, operating results, and cash flow.</w:t>
      </w:r>
    </w:p>
    <w:p>
      <w:pPr>
        <w:spacing w:after="0" w:line="18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subject to periodic audits or other reviews by tax authorities in the jurisdictions in which we conduct our activities. For example, our income tax returns are subject to continuous examination by the Internal Revenue Service and other tax authorities. Any such audit, examination or review requires management’s time, diverts internal resources and, in the event of an unfavorable outcome, may result in additional tax liabilities or other adjustments to our historical results.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which could result in adverse U.S. federal income tax consequences for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w:t>
      </w:r>
    </w:p>
    <w:p>
      <w:pPr>
        <w:spacing w:after="0" w:line="20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for any taxable year, either (a) at least 75% of our gross income is passive income or (b) at least 50% of the value of our assets (based on an average of the quarterly values of those assets during the taxable year) is attributable to assets that produce or are held for the production of passive income, in each case including a pro rata portion of the income and assets of each subsidiary in which we own, directly or indirectly, at least 25% by value of such subsidiary’s equity interests, we may be characterized as a passive foreign investment company, or PFIC, for U.S. federal income tax purposes. If we are treated as a PFIC for any taxable year during which a U.S. holder holds ordinary shares, certain adverse U.S. federal income tax consequences could apply for such U.S. holder.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Based on the current and anticipated valuation of our assets and the composition of our income and assets, we do not expect to be considered a PFIC for our 2026 fiscal year. However, a separate determination must be made at the close of each taxable year as to whether we are a PFIC for that taxable year, and we cannot assure you that we will not be a PFIC for our 2027 fiscal year or any future taxable year.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w:t>
      </w:r>
    </w:p>
    <w:p>
      <w:pPr>
        <w:spacing w:after="0" w:line="183"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U.S. federal income tax classification, or that of our subsidiaries, could result in adverse tax consequences to our 10% or greater U.S. shareholders.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for U.S. federal income tax purposes, a United States person owns, or is considered to own as a result of certain attribution rules, 10% or more of the voting power or value of the stock of a non-U.S. corporation, such person is “United States shareholder” of such corporation, and may be treated as a “United States shareholder” with respect to each non-U.S. corporation in our group that is a subsidiary of that corporation. A non-U.S. corporation is a controlled foreign corporation, or CFC, for U.S. federal income tax purposes if United States shareholders, as defined in the immediately preceding sentence, own directly, indirectly or constructively (through attribution), more than 50% of either the total combined voting power or total value of the stock of such corporation. Because our group includes one or more U.S. subsidiaries, certain of our non-U.S. subsidiaries will generally be treated as CFCs under certain “downward attribution” rules, even if we are not a CFC. Any United States shareholder (as defined above) should consult their individual tax advisor regarding the potential application of these rules to their ownership interest</w:t>
      </w:r>
      <w:r>
        <w:rPr>
          <w:rFonts w:ascii="Times New Roman" w:cs="Times New Roman" w:eastAsia="Times New Roman" w:hAnsi="Times New Roman"/>
          <w:sz w:val="18"/>
          <w:szCs w:val="18"/>
          <w:b w:val="1"/>
          <w:bCs w:val="1"/>
          <w:i w:val="1"/>
          <w:iCs w:val="1"/>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6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159"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7"/>
          <w:szCs w:val="17"/>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18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83"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ind w:firstLine="509"/>
        <w:spacing w:after="0" w:line="255"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and pursuit of intellectual property rights and positions, which has resulted in protracted and expensive litigation for many companies. We and certain of our customers have received, and in the future may receive, communications from others alleging our infringement of their patents, trade secrets or other intellectual property rights. In addition, we and certain of our end customers have been the subject of lawsuits alleging infringement of intellectual property rights by our solutions or products incorporating our solutions, including the assertion that the alleged infringement may be attributable, at least in part, to our technology. Such lawsuits could subject us to significant liability for damages and invalidate our proprietary rights, though this has not occurred to date. Any potential intellectual property litigation also could force us to do one or more of the following:</w:t>
      </w:r>
    </w:p>
    <w:p>
      <w:pPr>
        <w:spacing w:after="0" w:line="81"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products or using technology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the party whose intellectual property rights we may be found to be infringing;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against others.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significant impairment of our intellectual property rights from any litigation we face could harm our business and our ability to compete.</w:t>
      </w:r>
    </w:p>
    <w:p>
      <w:pPr>
        <w:spacing w:after="0" w:line="221"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88"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15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1" w:name="page52"/>
    <w:bookmarkEnd w:id="51"/>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volatile, which could cause the value of your investment to decline.</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market price of our ordinary shares has historically been highly volatile, and has been particularly volatile in recent years. For example, since February 1, 2020, the trading price of our common stock ranged from a low of $36.02 to a high of $227.59. The trading price of our ordinary shares is likely to remain volatile and could be subject to wide fluctuations in price in response to various factors, some of which are beyond our control. These factors include:</w:t>
      </w:r>
    </w:p>
    <w:p>
      <w:pPr>
        <w:spacing w:after="0" w:line="72"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including our ability to meet our future revenue and operating profit or loss projections;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or those of other semiconductor or comparable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results failing to meet or exceed our guidance or investor expectations;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economic performance or market valuations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developments in the semiconductor industry as a whole;</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conditions related to the banking industry or caused by pandemics and high inflation, and slow or negative market growth;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geopolitical activities affecting markets we address;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new products, significant contracts or orders, commercial relationships or capital commitments;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a substantial number of our ordinary shares by us, our officers, or our significant stockholders as well as the perception that such sales or purchases could occur;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our ordinary shares, short seller reports, and related media coverage;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or repurchase of ordinary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and enhanced solutions on a timely basis;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customers’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conditions in the markets where we sell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or failure of securities analysts to maintain coverage of us.</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52" w:name="page53"/>
    <w:bookmarkEnd w:id="52"/>
    <w:p>
      <w:pPr>
        <w:ind w:right="560"/>
        <w:spacing w:after="0" w:line="282" w:lineRule="auto"/>
        <w:rPr>
          <w:sz w:val="20"/>
          <w:szCs w:val="20"/>
          <w:color w:val="auto"/>
        </w:rPr>
      </w:pPr>
      <w:r>
        <w:rPr>
          <w:rFonts w:ascii="Times New Roman" w:cs="Times New Roman" w:eastAsia="Times New Roman" w:hAnsi="Times New Roman"/>
          <w:sz w:val="18"/>
          <w:szCs w:val="18"/>
          <w:color w:val="auto"/>
        </w:rPr>
        <w:t>class action litigation has often been instituted against these companies. This litigation, if instituted against us, could result in substantial costs and a diversion of our management’s attention and resources.</w:t>
      </w:r>
    </w:p>
    <w:p>
      <w:pPr>
        <w:spacing w:after="0" w:line="158"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159"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5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classes;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elect a director to fill a vacancy created by the expansion of our board of directors or due to the resignation or departure of an existing board member;</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of cumulative voting in the election of directors which would otherwise allow less than a majority of shareholders to elect director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advance notice of nominations for election to our board of directors or for proposing matters that can be acted upon at a shareholders’ meeting;</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the rights of shareholders to call a special meeting of shareholders and to take action by written consent in lieu of a meeting; and</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face difficulties in protecting their interests because we are incorporated under Cayman Islands law.</w:t>
      </w:r>
    </w:p>
    <w:p>
      <w:pPr>
        <w:spacing w:after="0" w:line="22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Subject to limited exceptions, under Cayman Islands law, a minority shareholder may not bring a derivative action against the board of directors.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3" w:name="page54"/>
    <w:bookmarkEnd w:id="53"/>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operations are interrupted, our business and reputation could suffer.</w:t>
      </w:r>
    </w:p>
    <w:p>
      <w:pPr>
        <w:spacing w:after="0" w:line="229" w:lineRule="exact"/>
        <w:rPr>
          <w:sz w:val="20"/>
          <w:szCs w:val="20"/>
          <w:color w:val="auto"/>
        </w:rPr>
      </w:pPr>
    </w:p>
    <w:p>
      <w:pPr>
        <w:ind w:right="220" w:firstLine="509"/>
        <w:spacing w:after="0" w:line="253" w:lineRule="auto"/>
        <w:rPr>
          <w:sz w:val="20"/>
          <w:szCs w:val="20"/>
          <w:color w:val="auto"/>
        </w:rPr>
      </w:pPr>
      <w:r>
        <w:rPr>
          <w:rFonts w:ascii="Times New Roman" w:cs="Times New Roman" w:eastAsia="Times New Roman" w:hAnsi="Times New Roman"/>
          <w:sz w:val="18"/>
          <w:szCs w:val="18"/>
          <w:color w:val="auto"/>
        </w:rPr>
        <w:t>Our operations and those of our manufacturers are vulnerable to interruption caused by technical breakdowns, computer hardware and software malfunctions, software viruses, infrastructure failures, pandemics, and regional health issues, earthquakes, natural disasters, and other negative impacts from climate change, power losses, telecommunications failures, terrorist attacks, wars, Internet failures and other events beyond our control. Our operations could also be disrupted by geopolitical conditions, particularly in Taiwan or China, where the majority of our employees are located. Any disruption in our services or operations could result in a reduction in revenue, delay product development and R&amp;D, or result in a claim for substantial damages against us, regardless of whether we are responsible for that failure. If remote or work from home conditions were to continue for an extended period of time,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Climate change and climate change-related policies and regulations may have a long-term impact on our business.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Global climate change is causing, and is projected to continue to cause, an increase in the frequency and intensity of certain natural disasters. Additionally, adverse weather, such as drought, wildfires, severe storms, sea-level rise, flooding, heat waves and cold waves, may occur more frequently and/or with greater intensity. Such extreme events are driving changes in market dynamics, and local, national and international policies and regulations, which could result in disruptions to us, our suppliers, customers, and employees. These disruptions could make it more difficult and costly for us to deliver our products, obtain components or other supplies through our supply chain, maintain, or resume operations or perform other critical corporate functions, and could reduce customer demand for our products, which would harm our business.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Purchases of Equity Securities by the Issuer and Affiliated Purchasers.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displays information with respect to repurchases of the Company’s ordinary shares during the three months ended April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148"/>
        </w:trPr>
        <w:tc>
          <w:tcPr>
            <w:tcW w:w="424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73"/>
        </w:trPr>
        <w:tc>
          <w:tcPr>
            <w:tcW w:w="42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(i)</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(ii)</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(i)</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 2025 to February 28, 2025</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March 1, 2025 to March 31, 2025</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2025 to April 30, 2025</w:t>
            </w:r>
          </w:p>
        </w:tc>
        <w:tc>
          <w:tcPr>
            <w:tcW w:w="1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24,152</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24,152</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24,152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24,152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-156845</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-156845</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-156845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-156845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left="1140" w:right="80" w:hanging="758"/>
        <w:spacing w:after="0" w:line="256"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29, 2025, we announced that our Board of Directors had approved an extension of the existing $50.0 million share repurchase program for an additional twelve months through June 30, 2026. The repurchase program does not obligate us to acquire any particular amount of ordinary shares, and it may be suspended at any time at our discretion. Shares may be repurchased through open market purchases, 10b5-1 plans or privately negotiated transactions. Repurchases are funded using our working capital and any repurchased shares are recorded as authorized but unissued shares. As of April 30, 2025, we had repurchased an aggregate amount of $2.0 million of our ordinary shares, and we had approximately $48.0 million available to repurchase shares under the program through June 30, 2026.</w:t>
      </w:r>
    </w:p>
    <w:p>
      <w:pPr>
        <w:spacing w:after="0" w:line="79" w:lineRule="exact"/>
        <w:rPr>
          <w:rFonts w:ascii="Times New Roman" w:cs="Times New Roman" w:eastAsia="Times New Roman" w:hAnsi="Times New Roman"/>
          <w:sz w:val="18"/>
          <w:szCs w:val="18"/>
          <w:color w:val="auto"/>
        </w:rPr>
      </w:pPr>
    </w:p>
    <w:p>
      <w:pPr>
        <w:ind w:left="1140" w:right="140" w:hanging="758"/>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is calculated by total cash utilized (excluding commission) divided by total shares repurchased during the period.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22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During our fiscal quarter ending April 30, 2025, no director or officer, as defined in Rule 16a-1(f), adopted or terminated a “Rule 10b5-1 trading arrangement” or a “non-Rule 10b5-1 trading arrangement,” each as defined in Regulation S-K Item 408.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Quarterly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00" w:type="dxa"/>
            <w:vAlign w:val="bottom"/>
            <w:gridSpan w:val="7"/>
          </w:tcPr>
          <w:p>
            <w:pPr>
              <w:ind w:left="6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74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2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7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94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Amended and Restated Memorandum of Association and Second Amended and Restated Articles of Association of the Registrant.</w:t>
              </w:r>
            </w:hyperlink>
          </w:p>
        </w:tc>
        <w:tc>
          <w:tcPr>
            <w:tcW w:w="6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10.1(2)*</w:t>
            </w:r>
          </w:p>
        </w:tc>
        <w:tc>
          <w:tcPr>
            <w:tcW w:w="10060" w:type="dxa"/>
            <w:vAlign w:val="bottom"/>
            <w:gridSpan w:val="10"/>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Description of Executive Bonus Plan for Fiscal Year 2026.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620" w:type="dxa"/>
            <w:vAlign w:val="bottom"/>
          </w:tcPr>
          <w:p>
            <w:pPr>
              <w:spacing w:after="0"/>
              <w:rPr>
                <w:sz w:val="24"/>
                <w:szCs w:val="24"/>
                <w:color w:val="auto"/>
              </w:rPr>
            </w:pPr>
          </w:p>
        </w:tc>
        <w:tc>
          <w:tcPr>
            <w:tcW w:w="96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Under Rule 13a-14(a) and 15d-14(a) of the Securities Exchange Act of 1934, as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9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620" w:type="dxa"/>
            <w:vAlign w:val="bottom"/>
          </w:tcPr>
          <w:p>
            <w:pPr>
              <w:spacing w:after="0"/>
              <w:rPr>
                <w:sz w:val="24"/>
                <w:szCs w:val="24"/>
                <w:color w:val="auto"/>
              </w:rPr>
            </w:pPr>
          </w:p>
        </w:tc>
        <w:tc>
          <w:tcPr>
            <w:tcW w:w="96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Required Under Rule 13a-14(a) and 15d-14(a) of the Securities Exchange Act of 1934, as</w:t>
            </w:r>
          </w:p>
        </w:tc>
        <w:tc>
          <w:tcPr>
            <w:tcW w:w="4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9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32.1±</w:t>
            </w:r>
          </w:p>
        </w:tc>
        <w:tc>
          <w:tcPr>
            <w:tcW w:w="620" w:type="dxa"/>
            <w:vAlign w:val="bottom"/>
          </w:tcPr>
          <w:p>
            <w:pPr>
              <w:spacing w:after="0"/>
              <w:rPr>
                <w:sz w:val="24"/>
                <w:szCs w:val="24"/>
                <w:color w:val="auto"/>
              </w:rPr>
            </w:pPr>
          </w:p>
        </w:tc>
        <w:tc>
          <w:tcPr>
            <w:tcW w:w="10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Required Under Rule 13a-14(b) of the Securities Exchange Act</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1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of 1934, as amended, and 18 U.S.C. §1350.</w:t>
            </w:r>
          </w:p>
        </w:tc>
        <w:tc>
          <w:tcPr>
            <w:tcW w:w="20" w:type="dxa"/>
            <w:vAlign w:val="bottom"/>
            <w:tcBorders>
              <w:bottom w:val="single" w:sz="8" w:color="0000EE"/>
            </w:tcBorders>
          </w:tcPr>
          <w:p>
            <w:pPr>
              <w:spacing w:after="0"/>
              <w:rPr>
                <w:sz w:val="17"/>
                <w:szCs w:val="17"/>
                <w:color w:val="auto"/>
              </w:rPr>
            </w:pPr>
          </w:p>
        </w:tc>
        <w:tc>
          <w:tcPr>
            <w:tcW w:w="69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Schema Linkbase Document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140" w:right="320" w:hanging="1132"/>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April 30, 2025, has been formatted in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8312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196" w:lineRule="exact"/>
        <w:rPr>
          <w:sz w:val="20"/>
          <w:szCs w:val="20"/>
          <w:color w:val="auto"/>
        </w:rPr>
      </w:pPr>
    </w:p>
    <w:p>
      <w:pPr>
        <w:ind w:left="1140" w:right="360" w:hanging="1132"/>
        <w:spacing w:after="0" w:line="261"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registration statement on Form S-1 (No. 333-174838) Amendment No. 3 as filed with the Securities and Exchange Commission on September 12, 2012.</w:t>
      </w:r>
    </w:p>
    <w:p>
      <w:pPr>
        <w:ind w:left="1140" w:hanging="113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filed on February 28, 2025.</w:t>
      </w:r>
    </w:p>
    <w:p>
      <w:pPr>
        <w:spacing w:after="0" w:line="9" w:lineRule="exact"/>
        <w:rPr>
          <w:sz w:val="20"/>
          <w:szCs w:val="20"/>
          <w:color w:val="auto"/>
        </w:rPr>
      </w:pPr>
    </w:p>
    <w:p>
      <w:pPr>
        <w:ind w:left="1140" w:hanging="113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compensation plans or arrangements in which directors or executive officers are eligible to participate.</w:t>
      </w:r>
    </w:p>
    <w:p>
      <w:pPr>
        <w:spacing w:after="0" w:line="9" w:lineRule="exact"/>
        <w:rPr>
          <w:sz w:val="20"/>
          <w:szCs w:val="20"/>
          <w:color w:val="auto"/>
        </w:rPr>
      </w:pPr>
    </w:p>
    <w:p>
      <w:pPr>
        <w:ind w:left="1140" w:hanging="113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33-8238 and 34-47986, Final Rule:</w:t>
      </w:r>
    </w:p>
    <w:p>
      <w:pPr>
        <w:spacing w:after="0" w:line="9" w:lineRule="exact"/>
        <w:rPr>
          <w:rFonts w:ascii="Times New Roman" w:cs="Times New Roman" w:eastAsia="Times New Roman" w:hAnsi="Times New Roman"/>
          <w:sz w:val="18"/>
          <w:szCs w:val="18"/>
          <w:color w:val="auto"/>
        </w:rPr>
      </w:pPr>
    </w:p>
    <w:p>
      <w:pPr>
        <w:ind w:left="1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Reports on Internal Control Over Financial Reporting and Certification of Disclosure in Exchange Act Periodic Reports, the certifications furnished in Exhibits 32.1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56" w:name="page57"/>
    <w:bookmarkEnd w:id="56"/>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256" w:lineRule="exact"/>
        <w:rPr>
          <w:sz w:val="20"/>
          <w:szCs w:val="20"/>
          <w:color w:val="auto"/>
        </w:rPr>
      </w:pPr>
    </w:p>
    <w:p>
      <w:pPr>
        <w:spacing w:after="0"/>
        <w:tabs>
          <w:tab w:leader="none" w:pos="5760" w:val="left"/>
          <w:tab w:leader="none" w:pos="7980" w:val="left"/>
        </w:tabs>
        <w:rPr>
          <w:sz w:val="20"/>
          <w:szCs w:val="20"/>
          <w:color w:val="auto"/>
        </w:rPr>
      </w:pPr>
      <w:r>
        <w:rPr>
          <w:rFonts w:ascii="Times New Roman" w:cs="Times New Roman" w:eastAsia="Times New Roman" w:hAnsi="Times New Roman"/>
          <w:sz w:val="18"/>
          <w:szCs w:val="18"/>
          <w:color w:val="auto"/>
        </w:rPr>
        <w:t>Date: June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26035</wp:posOffset>
            </wp:positionV>
            <wp:extent cx="31457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04"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Feng-Ming Wang</w:t>
      </w:r>
    </w:p>
    <w:p>
      <w:pPr>
        <w:spacing w:after="0" w:line="82"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37" w:lineRule="exact"/>
        <w:rPr>
          <w:sz w:val="20"/>
          <w:szCs w:val="20"/>
          <w:color w:val="auto"/>
        </w:rPr>
      </w:pPr>
    </w:p>
    <w:p>
      <w:pPr>
        <w:spacing w:after="0"/>
        <w:tabs>
          <w:tab w:leader="none" w:pos="5760" w:val="left"/>
          <w:tab w:leader="none" w:pos="8080" w:val="left"/>
        </w:tabs>
        <w:rPr>
          <w:sz w:val="20"/>
          <w:szCs w:val="20"/>
          <w:color w:val="auto"/>
        </w:rPr>
      </w:pPr>
      <w:r>
        <w:rPr>
          <w:rFonts w:ascii="Times New Roman" w:cs="Times New Roman" w:eastAsia="Times New Roman" w:hAnsi="Times New Roman"/>
          <w:sz w:val="18"/>
          <w:szCs w:val="18"/>
          <w:color w:val="auto"/>
        </w:rPr>
        <w:t>Date: June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26035</wp:posOffset>
            </wp:positionV>
            <wp:extent cx="31457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04"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John A. Young</w:t>
      </w:r>
    </w:p>
    <w:p>
      <w:pPr>
        <w:spacing w:after="0" w:line="82"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0" w:lineRule="exact"/>
        <w:rPr>
          <w:sz w:val="20"/>
          <w:szCs w:val="20"/>
          <w:color w:val="auto"/>
        </w:rPr>
      </w:pPr>
    </w:p>
    <w:p>
      <w:pPr>
        <w:spacing w:after="0" w:line="22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9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60" w:firstLine="517"/>
        <w:spacing w:after="0" w:line="282" w:lineRule="auto"/>
        <w:tabs>
          <w:tab w:leader="none" w:pos="7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20" w:firstLine="517"/>
        <w:spacing w:after="0" w:line="266" w:lineRule="auto"/>
        <w:tabs>
          <w:tab w:leader="none" w:pos="7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7"/>
        <w:spacing w:after="0" w:line="282" w:lineRule="auto"/>
        <w:tabs>
          <w:tab w:leader="none" w:pos="7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 2025</w:t>
      </w:r>
    </w:p>
    <w:p>
      <w:pPr>
        <w:spacing w:after="0" w:line="22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Feng-Ming Wang</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9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Young,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60" w:firstLine="517"/>
        <w:spacing w:after="0" w:line="282" w:lineRule="auto"/>
        <w:tabs>
          <w:tab w:leader="none" w:pos="7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20" w:firstLine="517"/>
        <w:spacing w:after="0" w:line="266" w:lineRule="auto"/>
        <w:tabs>
          <w:tab w:leader="none" w:pos="7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7"/>
        <w:spacing w:after="0" w:line="282" w:lineRule="auto"/>
        <w:tabs>
          <w:tab w:leader="none" w:pos="7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 2025</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John 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5715</wp:posOffset>
            </wp:positionV>
            <wp:extent cx="327469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18"/>
          <w:szCs w:val="18"/>
          <w:color w:val="auto"/>
        </w:rPr>
        <w:t>John A. Young</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 Feng-Ming Wang, certify, pursuant to 18 U.S.C. Section 1350, as adopted pursuant to Section 906 of the Sarbanes-Oxley Act of 2002, that the Quarterly Report of Ambarella, Inc. on Form 10-Q for the fiscal quarter ended April 30, 2025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 2025</w:t>
      </w:r>
    </w:p>
    <w:p>
      <w:pPr>
        <w:spacing w:after="0" w:line="252" w:lineRule="exact"/>
        <w:rPr>
          <w:sz w:val="20"/>
          <w:szCs w:val="20"/>
          <w:color w:val="auto"/>
        </w:rPr>
      </w:pPr>
    </w:p>
    <w:tbl>
      <w:tblPr>
        <w:tblLayout w:type="fixed"/>
        <w:tblInd w:w="642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Feng-Ming Wang</w:t>
            </w:r>
          </w:p>
        </w:tc>
      </w:tr>
      <w:tr>
        <w:trPr>
          <w:trHeight w:val="191"/>
        </w:trPr>
        <w:tc>
          <w:tcPr>
            <w:tcW w:w="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Feng-Ming Wang</w:t>
            </w: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 John A. Young, certify, pursuant to 18 U.S.C. Section 1350, as adopted pursuant to Section 906 of the Sarbanes-Oxley Act of 2002, that the Quarterly Report of Ambarella, Inc. on Form 10-Q for the fiscal quarter ended April 30, 2025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ind w:left="64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A. Young</w:t>
            </w:r>
          </w:p>
        </w:tc>
      </w:tr>
      <w:tr>
        <w:trPr>
          <w:trHeight w:val="191"/>
        </w:trPr>
        <w:tc>
          <w:tcPr>
            <w:tcW w:w="7240" w:type="dxa"/>
            <w:vAlign w:val="bottom"/>
          </w:tcPr>
          <w:p>
            <w:pPr>
              <w:ind w:left="64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A. Young</w:t>
            </w:r>
          </w:p>
        </w:tc>
      </w:tr>
      <w:tr>
        <w:trPr>
          <w:trHeight w:val="234"/>
        </w:trPr>
        <w:tc>
          <w:tcPr>
            <w:tcW w:w="7240" w:type="dxa"/>
            <w:vAlign w:val="bottom"/>
          </w:tcPr>
          <w:p>
            <w:pPr>
              <w:ind w:left="64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95"/>
        </w:trPr>
        <w:tc>
          <w:tcPr>
            <w:tcW w:w="72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0"/>
    </w:lvl>
  </w:abstractNum>
  <w:abstractNum w:abstractNumId="3">
    <w:nsid w:val="DED7263"/>
    <w:multiLevelType w:val="hybridMultilevel"/>
    <w:lvl w:ilvl="0">
      <w:lvlJc w:val="left"/>
      <w:lvlText w:val="(%1)"/>
      <w:numFmt w:val="lowerRoman"/>
      <w:start w:val="2"/>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lowerRoman"/>
      <w:start w:val="1"/>
    </w:lvl>
  </w:abstractNum>
  <w:abstractNum w:abstractNumId="18">
    <w:nsid w:val="333AB105"/>
    <w:multiLevelType w:val="hybridMultilevel"/>
    <w:lvl w:ilvl="0">
      <w:lvlJc w:val="left"/>
      <w:lvlText w:val="%1"/>
      <w:numFmt w:val="decimal"/>
      <w:start w:val="104"/>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49" Type="http://schemas.openxmlformats.org/officeDocument/2006/relationships/hyperlink" Target="https://www.sec.gov/Archives/edgar/data/0001280263/000119312512389774/d193541dex32.htm" TargetMode="External"/><Relationship Id="rId250" Type="http://schemas.openxmlformats.org/officeDocument/2006/relationships/hyperlink" Target="https://www.sec.gov/ix?doc=/Archives/edgar/data/0001280263/000119312525042642/d906585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2025-06-03T13:38:31Z</dcterms:created>
  <dcterms:modified xsi:type="dcterms:W3CDTF">2025-06-03T13:38:31Z</dcterms:modified>
</cp:coreProperties>
</file>