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3"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January 31, 2026</w:t>
      </w:r>
    </w:p>
    <w:p>
      <w:pPr>
        <w:spacing w:after="0" w:line="42"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5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transition period from</w:t>
      </w:r>
      <w:r>
        <w:rPr>
          <w:rFonts w:ascii="Times New Roman" w:cs="Times New Roman" w:eastAsia="Times New Roman" w:hAnsi="Times New Roman"/>
          <w:sz w:val="16"/>
          <w:szCs w:val="16"/>
          <w:b w:val="1"/>
          <w:bCs w:val="1"/>
          <w:u w:val="single" w:color="auto"/>
          <w:color w:val="auto"/>
        </w:rPr>
        <w:t>______</w:t>
      </w:r>
      <w:r>
        <w:rPr>
          <w:rFonts w:ascii="Times New Roman" w:cs="Times New Roman" w:eastAsia="Times New Roman" w:hAnsi="Times New Roman"/>
          <w:sz w:val="16"/>
          <w:szCs w:val="16"/>
          <w:b w:val="1"/>
          <w:bCs w:val="1"/>
          <w:color w:val="auto"/>
        </w:rPr>
        <w:t xml:space="preserve"> to</w:t>
      </w:r>
      <w:r>
        <w:rPr>
          <w:rFonts w:ascii="Times New Roman" w:cs="Times New Roman" w:eastAsia="Times New Roman" w:hAnsi="Times New Roman"/>
          <w:sz w:val="16"/>
          <w:szCs w:val="16"/>
          <w:b w:val="1"/>
          <w:bCs w:val="1"/>
          <w:u w:val="single" w:color="auto"/>
          <w:color w:val="auto"/>
        </w:rPr>
        <w:t>______</w:t>
      </w:r>
    </w:p>
    <w:p>
      <w:pPr>
        <w:spacing w:after="0" w:line="42"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001-35667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479"/>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4040" w:type="dxa"/>
            <w:vAlign w:val="bottom"/>
            <w:gridSpan w:val="4"/>
          </w:tcPr>
          <w:p>
            <w:pPr>
              <w:ind w:left="80"/>
              <w:spacing w:after="0"/>
              <w:rPr>
                <w:sz w:val="20"/>
                <w:szCs w:val="20"/>
                <w:color w:val="auto"/>
              </w:rPr>
            </w:pPr>
            <w:r>
              <w:rPr>
                <w:rFonts w:ascii="Times New Roman" w:cs="Times New Roman" w:eastAsia="Times New Roman" w:hAnsi="Times New Roman"/>
                <w:sz w:val="36"/>
                <w:szCs w:val="36"/>
                <w:b w:val="1"/>
                <w:bCs w:val="1"/>
                <w:color w:val="auto"/>
              </w:rPr>
              <w:t>AMBARELLA,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3860" w:type="dxa"/>
            <w:vAlign w:val="bottom"/>
            <w:vMerge w:val="restart"/>
          </w:tcPr>
          <w:p>
            <w:pPr>
              <w:jc w:val="center"/>
              <w:ind w:left="1703"/>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64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340" w:type="dxa"/>
            <w:vAlign w:val="bottom"/>
            <w:vMerge w:val="restart"/>
          </w:tcPr>
          <w:p>
            <w:pPr>
              <w:jc w:val="right"/>
              <w:ind w:right="2286"/>
              <w:spacing w:after="0"/>
              <w:rPr>
                <w:sz w:val="20"/>
                <w:szCs w:val="20"/>
                <w:color w:val="auto"/>
              </w:rPr>
            </w:pPr>
            <w:r>
              <w:rPr>
                <w:rFonts w:ascii="Times New Roman" w:cs="Times New Roman" w:eastAsia="Times New Roman" w:hAnsi="Times New Roman"/>
                <w:sz w:val="16"/>
                <w:szCs w:val="16"/>
                <w:b w:val="1"/>
                <w:bCs w:val="1"/>
                <w:color w:val="auto"/>
              </w:rPr>
              <w:t>98-0459628</w:t>
            </w:r>
          </w:p>
        </w:tc>
        <w:tc>
          <w:tcPr>
            <w:tcW w:w="0" w:type="dxa"/>
            <w:vAlign w:val="bottom"/>
          </w:tcPr>
          <w:p>
            <w:pPr>
              <w:spacing w:after="0"/>
              <w:rPr>
                <w:sz w:val="1"/>
                <w:szCs w:val="1"/>
                <w:color w:val="auto"/>
              </w:rPr>
            </w:pPr>
          </w:p>
        </w:tc>
      </w:tr>
      <w:tr>
        <w:trPr>
          <w:trHeight w:val="239"/>
        </w:trPr>
        <w:tc>
          <w:tcPr>
            <w:tcW w:w="38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tcPr>
          <w:p>
            <w:pPr>
              <w:jc w:val="center"/>
              <w:ind w:left="170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40" w:type="dxa"/>
            <w:vAlign w:val="bottom"/>
          </w:tcPr>
          <w:p>
            <w:pPr>
              <w:jc w:val="center"/>
              <w:ind w:right="206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60" w:type="dxa"/>
            <w:vAlign w:val="bottom"/>
          </w:tcPr>
          <w:p>
            <w:pPr>
              <w:jc w:val="center"/>
              <w:ind w:left="170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tcPr>
          <w:p>
            <w:pPr>
              <w:jc w:val="center"/>
              <w:ind w:right="208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24"/>
        </w:trPr>
        <w:tc>
          <w:tcPr>
            <w:tcW w:w="3860" w:type="dxa"/>
            <w:vAlign w:val="bottom"/>
          </w:tcPr>
          <w:p>
            <w:pPr>
              <w:jc w:val="center"/>
              <w:ind w:left="1703"/>
              <w:spacing w:after="0"/>
              <w:rPr>
                <w:sz w:val="20"/>
                <w:szCs w:val="20"/>
                <w:color w:val="auto"/>
              </w:rPr>
            </w:pPr>
            <w:r>
              <w:rPr>
                <w:rFonts w:ascii="Times New Roman" w:cs="Times New Roman" w:eastAsia="Times New Roman" w:hAnsi="Times New Roman"/>
                <w:sz w:val="16"/>
                <w:szCs w:val="16"/>
                <w:b w:val="1"/>
                <w:bCs w:val="1"/>
                <w:color w:val="auto"/>
              </w:rPr>
              <w:t>3001 Tasman Drive</w:t>
            </w:r>
          </w:p>
        </w:tc>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60" w:type="dxa"/>
            <w:vAlign w:val="bottom"/>
          </w:tcPr>
          <w:p>
            <w:pPr>
              <w:jc w:val="center"/>
              <w:ind w:left="1723"/>
              <w:spacing w:after="0"/>
              <w:rPr>
                <w:sz w:val="20"/>
                <w:szCs w:val="20"/>
                <w:color w:val="auto"/>
              </w:rPr>
            </w:pPr>
            <w:r>
              <w:rPr>
                <w:rFonts w:ascii="Times New Roman" w:cs="Times New Roman" w:eastAsia="Times New Roman" w:hAnsi="Times New Roman"/>
                <w:sz w:val="16"/>
                <w:szCs w:val="16"/>
                <w:b w:val="1"/>
                <w:bCs w:val="1"/>
                <w:color w:val="auto"/>
              </w:rPr>
              <w:t>Santa Clara, California</w:t>
            </w:r>
          </w:p>
        </w:tc>
        <w:tc>
          <w:tcPr>
            <w:tcW w:w="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tcPr>
          <w:p>
            <w:pPr>
              <w:jc w:val="right"/>
              <w:ind w:right="2466"/>
              <w:spacing w:after="0"/>
              <w:rPr>
                <w:sz w:val="20"/>
                <w:szCs w:val="20"/>
                <w:color w:val="auto"/>
              </w:rPr>
            </w:pPr>
            <w:r>
              <w:rPr>
                <w:rFonts w:ascii="Times New Roman" w:cs="Times New Roman" w:eastAsia="Times New Roman" w:hAnsi="Times New Roman"/>
                <w:sz w:val="16"/>
                <w:szCs w:val="16"/>
                <w:b w:val="1"/>
                <w:bCs w:val="1"/>
                <w:color w:val="auto"/>
              </w:rPr>
              <w:t>95054</w:t>
            </w:r>
          </w:p>
        </w:tc>
        <w:tc>
          <w:tcPr>
            <w:tcW w:w="0" w:type="dxa"/>
            <w:vAlign w:val="bottom"/>
          </w:tcPr>
          <w:p>
            <w:pPr>
              <w:spacing w:after="0"/>
              <w:rPr>
                <w:sz w:val="1"/>
                <w:szCs w:val="1"/>
                <w:color w:val="auto"/>
              </w:rPr>
            </w:pPr>
          </w:p>
        </w:tc>
      </w:tr>
      <w:tr>
        <w:trPr>
          <w:trHeight w:val="184"/>
        </w:trPr>
        <w:tc>
          <w:tcPr>
            <w:tcW w:w="7900" w:type="dxa"/>
            <w:vAlign w:val="bottom"/>
            <w:gridSpan w:val="5"/>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40" w:type="dxa"/>
            <w:vAlign w:val="bottom"/>
          </w:tcPr>
          <w:p>
            <w:pPr>
              <w:jc w:val="center"/>
              <w:ind w:right="208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2"/>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734-8888</w:t>
            </w:r>
          </w:p>
        </w:tc>
        <w:tc>
          <w:tcPr>
            <w:tcW w:w="0" w:type="dxa"/>
            <w:vAlign w:val="bottom"/>
          </w:tcPr>
          <w:p>
            <w:pPr>
              <w:spacing w:after="0"/>
              <w:rPr>
                <w:sz w:val="1"/>
                <w:szCs w:val="1"/>
                <w:color w:val="auto"/>
              </w:rPr>
            </w:pPr>
          </w:p>
        </w:tc>
      </w:tr>
      <w:tr>
        <w:trPr>
          <w:trHeight w:val="246"/>
        </w:trPr>
        <w:tc>
          <w:tcPr>
            <w:tcW w:w="7900" w:type="dxa"/>
            <w:vAlign w:val="bottom"/>
            <w:tcBorders>
              <w:bottom w:val="single" w:sz="8" w:color="auto"/>
            </w:tcBorders>
            <w:gridSpan w:val="5"/>
          </w:tcPr>
          <w:p>
            <w:pPr>
              <w:jc w:val="center"/>
              <w:ind w:left="322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640" w:type="dxa"/>
            <w:vAlign w:val="bottom"/>
            <w:tcBorders>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Trading Symbol</w:t>
            </w:r>
          </w:p>
        </w:tc>
        <w:tc>
          <w:tcPr>
            <w:tcW w:w="360" w:type="dxa"/>
            <w:vAlign w:val="bottom"/>
            <w:tcBorders>
              <w:bottom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6"/>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Ordinary Shares, $0.00045 Par Value Per Share</w:t>
            </w:r>
          </w:p>
        </w:tc>
        <w:tc>
          <w:tcPr>
            <w:tcW w:w="64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AMBA</w:t>
            </w:r>
          </w:p>
        </w:tc>
        <w:tc>
          <w:tcPr>
            <w:tcW w:w="36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298"/>
        </w:trPr>
        <w:tc>
          <w:tcPr>
            <w:tcW w:w="7900" w:type="dxa"/>
            <w:vAlign w:val="bottom"/>
            <w:gridSpan w:val="5"/>
          </w:tcPr>
          <w:p>
            <w:pPr>
              <w:jc w:val="center"/>
              <w:ind w:left="322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0" w:type="dxa"/>
            <w:vAlign w:val="bottom"/>
            <w:gridSpan w:val="3"/>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None</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4500" w:type="dxa"/>
            <w:vAlign w:val="bottom"/>
            <w:gridSpan w:val="2"/>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160" w:type="dxa"/>
            <w:vAlign w:val="bottom"/>
            <w:gridSpan w:val="2"/>
          </w:tcPr>
          <w:p>
            <w:pPr>
              <w:spacing w:after="0"/>
              <w:rPr>
                <w:sz w:val="6"/>
                <w:szCs w:val="6"/>
                <w:color w:val="auto"/>
              </w:rPr>
            </w:pPr>
          </w:p>
        </w:tc>
        <w:tc>
          <w:tcPr>
            <w:tcW w:w="334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5"/>
        </w:trPr>
        <w:tc>
          <w:tcPr>
            <w:tcW w:w="7900" w:type="dxa"/>
            <w:vAlign w:val="bottom"/>
            <w:gridSpan w:val="5"/>
          </w:tcPr>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520"/>
        <w:spacing w:after="0" w:line="161" w:lineRule="exact"/>
        <w:tabs>
          <w:tab w:leader="none" w:pos="808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1" w:lineRule="exact"/>
        <w:rPr>
          <w:sz w:val="24"/>
          <w:szCs w:val="24"/>
          <w:color w:val="auto"/>
        </w:rPr>
      </w:pPr>
    </w:p>
    <w:p>
      <w:pPr>
        <w:ind w:right="420" w:firstLine="509"/>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(Exchange Act) during the preceding 12 months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509"/>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940"/>
              <w:spacing w:after="0"/>
              <w:rPr>
                <w:sz w:val="20"/>
                <w:szCs w:val="20"/>
                <w:color w:val="auto"/>
              </w:rPr>
            </w:pPr>
            <w:r>
              <w:rPr>
                <w:rFonts w:ascii="Times New Roman" w:cs="Times New Roman" w:eastAsia="Times New Roman" w:hAnsi="Times New Roman"/>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6"/>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ind w:right="40"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80" w:firstLine="509"/>
        <w:spacing w:after="0" w:line="233" w:lineRule="auto"/>
        <w:rPr>
          <w:sz w:val="20"/>
          <w:szCs w:val="20"/>
          <w:color w:val="auto"/>
        </w:rPr>
      </w:pPr>
      <w:r>
        <w:rPr>
          <w:rFonts w:ascii="Times New Roman" w:cs="Times New Roman" w:eastAsia="Times New Roman" w:hAnsi="Times New Roman"/>
          <w:sz w:val="14"/>
          <w:szCs w:val="14"/>
          <w:color w:val="auto"/>
        </w:rPr>
        <w:t>The aggregate market value of the voting and non-voting ordinary shares held by non-affiliates of the Registrant as of July 31, 2025, was approximately $2.2 billion based upon the closing price reported for such date on the Nasdaq Global Select Market. For purposes of this disclosure, ordinary shares held by persons known to the Registrant (based on information provided by such persons and/or the most recent schedule 13Gs filed by such persons) to beneficially own more than 5% of the Registrant’s ordinary shares and ordinary shares held by officers and directors of the Registrant have been excluded because such persons may be deemed to be affiliates. This determination is not necessarily a conclusive determination for other purposes.</w:t>
      </w:r>
    </w:p>
    <w:p>
      <w:pPr>
        <w:spacing w:after="0" w:line="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Number of ordinary shares, $0.00045 par value, outstanding as of March 16, 2026: 43,788,879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902335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Certain information is incorporated into Part III of this report by reference to the Proxy Statement for the Registrant’s 2026 annual meeting of shareholders to be filed with the Securities and Exchange Commission not later than 120 days after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774065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27"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0" w:type="dxa"/>
            <w:vAlign w:val="bottom"/>
            <w:gridSpan w:val="17"/>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11"/>
            <w:vMerge w:val="restart"/>
          </w:tcPr>
          <w:p>
            <w:pPr>
              <w:jc w:val="center"/>
              <w:ind w:right="462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20" w:type="dxa"/>
            <w:vAlign w:val="bottom"/>
            <w:gridSpan w:val="11"/>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5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Borders>
              <w:top w:val="single" w:sz="8" w:color="0000FF"/>
            </w:tcBorders>
            <w:gridSpan w:val="2"/>
          </w:tcPr>
          <w:p>
            <w:pPr>
              <w:spacing w:after="0"/>
              <w:rPr>
                <w:sz w:val="17"/>
                <w:szCs w:val="17"/>
                <w:color w:val="auto"/>
              </w:rPr>
            </w:pPr>
          </w:p>
        </w:tc>
        <w:tc>
          <w:tcPr>
            <w:tcW w:w="462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0" w:type="dxa"/>
            <w:vAlign w:val="bottom"/>
            <w:tcBorders>
              <w:bottom w:val="single" w:sz="8" w:color="0000EE"/>
            </w:tcBorders>
          </w:tcPr>
          <w:p>
            <w:pPr>
              <w:spacing w:after="0"/>
              <w:rPr>
                <w:sz w:val="24"/>
                <w:szCs w:val="24"/>
                <w:color w:val="auto"/>
              </w:rPr>
            </w:pPr>
          </w:p>
        </w:tc>
        <w:tc>
          <w:tcPr>
            <w:tcW w:w="456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454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3"/>
          </w:tcPr>
          <w:p>
            <w:pPr>
              <w:jc w:val="center"/>
              <w:ind w:right="456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tcBorders>
              <w:top w:val="single" w:sz="8" w:color="0000FF"/>
            </w:tcBorders>
            <w:gridSpan w:val="6"/>
          </w:tcPr>
          <w:p>
            <w:pPr>
              <w:spacing w:after="0"/>
              <w:rPr>
                <w:sz w:val="17"/>
                <w:szCs w:val="17"/>
                <w:color w:val="auto"/>
              </w:rPr>
            </w:pPr>
          </w:p>
        </w:tc>
        <w:tc>
          <w:tcPr>
            <w:tcW w:w="456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7"/>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58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7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320" w:type="dxa"/>
            <w:vAlign w:val="bottom"/>
            <w:gridSpan w:val="3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and Section 21E of the Exchange Act. The forward-looking statements are contained principally in, but not limited to, the sections titled “Business,” “Risk Factors,” and “Management’s Discussion and Analysis of Financial Condition and Results of Operations,” as well as elsewhere in this Annual Report on Form 10-K. Forward-looking statements are identified by the use of the words “would,” “could,” “will,” “may,” “expect,” “believe,” “should,” “anticipate,” “outlook,” “if,” “future,” “intend,” “plan,” “estimate,” “predict,” “potential,” “target,” “seek,” “continue,” “foreseeable” or “forecast” and similar words and phrases, including the negatives of these terms, or other variations of these terms, that denote future events. Forward-looking statements include, but are not limited to, information concerning our possible or assumed future results of operations, competitive position, industry environment, potential growth opportunities and the effects of competition, our product development strategy and areas of focus, our market opportunity, our ability to develop new solutions, including our ability to integrate and apply acquired technologies to our solutions, our future financial and operating performance, sales and marketing strategy, investment strategy and the results of our investments, research and development, customer and supplier relationships, inventory levels, customer demand and our ability to secure design wins, industry trends, our cash needs and capital requirements, and expectations about seasonality, taxes, and operating expenses.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Annual Report on Form 10-K.</w:t>
      </w:r>
    </w:p>
    <w:p>
      <w:pPr>
        <w:spacing w:after="0" w:line="18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Factors that could affect such forward-looking statements include, but are not limited to, risks associated with revenue being generated from new customers or design wins, neither of which is assured; our ability to retain and expand customer relationships and to achieve design wins; economic factors beyond our control, including risks associated with high inflation and recessionary concerns; geopolitical factors beyond our control, including tensions between the United States and China, the ongoing hostility between Russia and Ukraine, and hostilities in the Middle East; the potential impact of pandemics and endemics on our operations or the operations of our supply chain or our customers; our ability to timely produce sufficient quantities of our products on a cost-effective basis through our third-party vendors; the commercial success of our customers’ products; our growth strategy; our ability to anticipate future market demands and future needs and preferences of our customers; our ability to introduce new and enhanced solutions, including our ability to license software modules; the expansion of our current markets and our ability to successfully enter new markets; anticipated trends and challenges, including competition, in the markets in which we operate; our expectations regarding the adoption of computer vision technology; our ability to effectively generate and manage growth; our ability to retain key employees; the potential for intellectual property disputes or other litigation; the risks described under Item 1A of Part I—“Risk Factors,” Item 7 of Part II—“Management’s Discussion and Analysis of Financial Condition and Results of Operations,” and elsewhere in this Annual Report on Form 10-K; and those discussed in other documents we file with the Securities and Exchange Commission. You are cautioned not to place undue reliance on the forward-looking statements, which speak only as of the date of this Annual Report on Form 10-K. We have no obligation (and expressly disclaim any such obligation) to update or alter any forward-looking statements, whether as a result of new information or otherwise except as otherwise required by securities regulations.</w:t>
      </w:r>
    </w:p>
    <w:p>
      <w:pPr>
        <w:spacing w:after="0" w:line="196"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of this Annual Report, the terms “Ambarella”, “the Company”, “we”, “us” and “our” refer to Ambarella,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Incorporated in 2004, Ambarella is a leading developer of low-power system-on-a-chip, or SoC, semiconductors and software for edge and physical artificial intelligence (AI) applications and intelligent automation. Our technologies make electronic systems smarter, enabling them to become partially or fully autonomous with features such as intelligent automation, complex scene understanding, and autonomous decision-making. These systems perform multi-modal data fusion and complex data analysis in real time, delivering high quality imagery, and preserving vital system resources such as power and network bandwidth. We specialize in the development of deployable, scalable designs for intelligent electronic systems that utilize high-bandwidth sensors offering a proven path to mass production. Our products are used in a wide variety of human viewing, computer vision for edge and physical AI applications, including a variety of video security cameras, automotive camera systems, fixed robots, autonomous mobile robots (AMRs), industrial applications, intelligent transportation systems, and consumer devices, such as action, drone and 360° cameras.</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Until 2023, a majority of our revenue originated from human-viewing only applications with video and image processors for enterprise, public infrastructure and home applications, such as internet protocol, or IP, security cameras, sports cameras, wearables, aerial drones, and aftermarket automotive video recorders. We have leveraged our human-viewing heritage to build our AI driven perception and autonomous business. Our recent development efforts have focused on creating advanced AI inference technology that enables edge devices to perceive, reason about, and interact with the physical world based on the data collected from cameras and other types of sensors, such as 4D radar. This is known as physical AI, a subset of the edge AI market where devices must make autonomous decisions, effectively acting as intelligent agents at the edge. Our AI inference SoCs integrate our state-of-the-art video processor technology together with our proprietary AI accelerator, also known as a deep learning neural network processor, which we refer to as CVflow®.</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CVflow-architecture was designed for a variety of AI inference algorithms, including object detection, classification and tracking, semantic and instance segmentation, image processing, stereo object detection, and terrain mapping. Our latest third generation CVflow technology enables our new SoCs to efficiently process transformer AI networks. These networks facilitate computationally intense advanced AI applications and are foundational for more sophisticated reasoning and planning capabilities, including deep fusion, deep behavioral planning, large language models (LLMs), vision-language models (VLMs), vision-action models (VLAs) and reasoning models. To achieve holistic environmental perception, CVflow can process and fuse data from multiple sensing modalities, including cameras, 4D imaging radar, lidar, thermal, and near-infrared (NIR) sensors. This multi-modal capability is crucial for building robust AI agents. Furthermore, our CVflow architecture allows customers to differentiate their products by porting their own or third-party neural networks and AI algorithms, creating a flexible platform for innovation. Our AI technology is creating opportunities for us to address a broader range of markets and applications while also allowing us to capture more content per electronic system.</w:t>
      </w:r>
    </w:p>
    <w:p>
      <w:pPr>
        <w:spacing w:after="0" w:line="195" w:lineRule="exact"/>
        <w:rPr>
          <w:sz w:val="20"/>
          <w:szCs w:val="20"/>
          <w:color w:val="auto"/>
        </w:rPr>
      </w:pPr>
    </w:p>
    <w:p>
      <w:pPr>
        <w:ind w:right="100" w:firstLine="509"/>
        <w:spacing w:after="0"/>
        <w:rPr>
          <w:sz w:val="20"/>
          <w:szCs w:val="20"/>
          <w:color w:val="auto"/>
        </w:rPr>
      </w:pPr>
      <w:r>
        <w:rPr>
          <w:rFonts w:ascii="Times New Roman" w:cs="Times New Roman" w:eastAsia="Times New Roman" w:hAnsi="Times New Roman"/>
          <w:sz w:val="18"/>
          <w:szCs w:val="18"/>
          <w:color w:val="auto"/>
        </w:rPr>
        <w:t>Our newest product families, CV7, CV3 and N1 integrate our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generation CVflow AI accelerator and are all built on advanced 4 and 5 nanometer (nm) process technology. These advanced SoCs are engineered to efficiently run some of the latest transformer neural networks enabling new levels of performance and agentic capabilities at the edge. The CV7 family, which includes our CV7, CV72, and CV75 SoCs, is engineered for a broad range of high-performance, power-sensitive edge AI applications. It delivers exceptional AI performance for sophisticated computer vision and multi-modal processing in next-generation automotive, security, and robotics systems.</w:t>
      </w:r>
    </w:p>
    <w:p>
      <w:pPr>
        <w:spacing w:after="0" w:line="19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CV3 AI central domain controller family of SoCs is specifically architected for partially to fully automated driving applications. In addition to offering our existing advanced camera perception processing, CV3 family integrates critical sensor fusion and path planning software layers. This enables a crucial shift from simple perception to a complete "perceive-plan-act" loop, which is the foundation of autonomous physical AI agentic behavior in vehicles and robots.</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N1 SoC is capable of running LLM inferencing with models up to 34 billion parameters, enabling a new class of generative AI applications directly on IoT devices. The N1 SoC supports a range of advanced applications, including industrial robotics, intelligent healthcare imaging and diagnostics, autonomous fleet telematics and next generation edge AI boxes and servers capable of aggregating multiple video, audio and other modality streams of data and providing local generative AI inferencing through multi-modal VLMs, conversational LLMs and actionable VLAs.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adaptive AI radar software algorithms are designed to enable radar perception using current production radar radio frequency chips to achieve significantly higher resolution, longer range and greater accuracy. We have introduced a centralized 4D imaging radar architecture that synergistically leverages these adaptive AI software algorithms. When combined with our CV3 AI domain controller family, this architecture provides a rich, high-resolution data stream that is critical for robust perception in challenging conditions. This fusion of advanced radar and vision processing enhances situational awareness and safety for autonomous systems, while also reducing overall system power consumption and bill-of-materials compared to traditional distributed radar systems.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 and Target Markets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AI functionality has historically been executed with graphics processing units (GPU), field programmable gate-arrays (FPGA) or general purpose microprocessors (CPU) in servers or data centers. This approach requires large amounts of data to be transported from an end-point electronic system or device into the network infrastructure, where the data may be stored, processed, and then sent back to the end point, creating added delay, power consumption and incremental expense from data communications, server processing and storage. In some applications, unacceptable levels of latency are introduced by the transportation of this data, minimizing or, in some cases, eliminating the utility of the product. In addition, this approach often requires personal information to be transmitted from the end-point device to the network infrastructure, potentially raising privacy and security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336550</wp:posOffset>
            </wp:positionV>
            <wp:extent cx="5777865" cy="323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7786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the edge AI inference market, sometimes referred to as the system’s edge, requires a fundamentally different SoC architecture versus the GPU, FPGA and CPU approach commonly used in the data center, particularly for physical AI applications that must perceive and react to their environment in real time. Our AI SoCs are optimized for the requirements of the edge inference market to provide highly accurate results, significant processing power, small form factor and minimal latency while consuming very low amounts of power. They are engineered to deliver not only human viewing capabilities but also sophisticated agentic functionality, often by processing data from multiple sensor modalities and running multiple, concurrent AI models on a single SoC incorporated in an end-point device or box. In addition, privacy and security can be enhanced, as critical personal information may not need to enter the network infrastructure.</w:t>
      </w:r>
    </w:p>
    <w:p>
      <w:pPr>
        <w:spacing w:after="0" w:line="8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first AI SoC was introduced in 2018 and our third generation CVflow AI accelerator is integrated into our CV7, CV3 and N1 families of AI processors. Our development efforts are now focused on SoCs that provide advanced edge and physicalAI inference functionality further enabled by AI agents that provide advanced automation capabilities, with continued support for human viewing. We complement our advanced camera perception capabilities with advanced radar perception technology. This fusion of multiple sensor modalities is foundational to creating a comprehensive environmental model, enabling higher levels of autonomy and more robust automation.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We are focusing on the IoT and automotive end markets that require increasingly sophisticated AI inference workloads and processing performance: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IoT Applications:</w:t>
      </w:r>
    </w:p>
    <w:p>
      <w:pPr>
        <w:spacing w:after="0" w:line="117" w:lineRule="exact"/>
        <w:rPr>
          <w:sz w:val="20"/>
          <w:szCs w:val="20"/>
          <w:color w:val="auto"/>
        </w:rPr>
      </w:pPr>
    </w:p>
    <w:p>
      <w:pPr>
        <w:ind w:left="420" w:hanging="370"/>
        <w:spacing w:after="0" w:line="259"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Security Cameras</w:t>
      </w:r>
      <w:r>
        <w:rPr>
          <w:rFonts w:ascii="Times New Roman" w:cs="Times New Roman" w:eastAsia="Times New Roman" w:hAnsi="Times New Roman"/>
          <w:sz w:val="18"/>
          <w:szCs w:val="18"/>
          <w:color w:val="2D373B"/>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 leader in enterprise and home security camera markets, with solutions that deliver exceptional AI inference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industry-leading compression efficiency, low power consumption, and outstanding image quality, including high dynamic range (HDR), low-light processing and fisheye lens de-warping. Our AI products enable higher levels of automation than our vision processors through advanced algorithms, such as object detection, classification and tracking, license plate recognition and facial recognition. We address the following security camera applications:</w:t>
      </w:r>
    </w:p>
    <w:p>
      <w:pPr>
        <w:spacing w:after="0" w:line="71" w:lineRule="exact"/>
        <w:rPr>
          <w:rFonts w:ascii="Times New Roman" w:cs="Times New Roman" w:eastAsia="Times New Roman" w:hAnsi="Times New Roman"/>
          <w:sz w:val="18"/>
          <w:szCs w:val="18"/>
          <w:color w:val="auto"/>
        </w:rPr>
      </w:pPr>
    </w:p>
    <w:p>
      <w:pPr>
        <w:ind w:left="1360" w:right="100" w:hanging="375"/>
        <w:spacing w:after="0" w:line="259" w:lineRule="auto"/>
        <w:tabs>
          <w:tab w:leader="none" w:pos="13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Enterprise and Public Class Security</w:t>
      </w:r>
      <w:r>
        <w:rPr>
          <w:rFonts w:ascii="Times New Roman" w:cs="Times New Roman" w:eastAsia="Times New Roman" w:hAnsi="Times New Roman"/>
          <w:sz w:val="18"/>
          <w:szCs w:val="18"/>
          <w:color w:val="auto"/>
        </w:rPr>
        <w:t>. These cameras are used for video monitoring and security surveillance in enterprise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infrastructure applications. Embedded advanced AI technology supports advanced analytics at the system’s edge, including people counting and tracking, facial recognition and retail behavior analysis. In addition, our N1-655 SoC, can run the latest AI models, without the need for an internet connection, on a variety of on-premise devices, including smart-city security video recorders.</w:t>
      </w:r>
    </w:p>
    <w:p>
      <w:pPr>
        <w:spacing w:after="0" w:line="71" w:lineRule="exact"/>
        <w:rPr>
          <w:rFonts w:ascii="Times New Roman" w:cs="Times New Roman" w:eastAsia="Times New Roman" w:hAnsi="Times New Roman"/>
          <w:sz w:val="18"/>
          <w:szCs w:val="18"/>
          <w:color w:val="auto"/>
        </w:rPr>
      </w:pPr>
    </w:p>
    <w:p>
      <w:pPr>
        <w:jc w:val="both"/>
        <w:ind w:left="1360" w:right="40" w:hanging="375"/>
        <w:spacing w:after="0" w:line="291" w:lineRule="auto"/>
        <w:tabs>
          <w:tab w:leader="none" w:pos="136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Home Security</w:t>
      </w:r>
      <w:r>
        <w:rPr>
          <w:rFonts w:ascii="Times New Roman" w:cs="Times New Roman" w:eastAsia="Times New Roman" w:hAnsi="Times New Roman"/>
          <w:sz w:val="17"/>
          <w:szCs w:val="17"/>
          <w:color w:val="auto"/>
        </w:rPr>
        <w:t>. Home security cameras are designed for home or small business use and may be connected to cloud services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applications via home networks using WiFi. Form factors include smart video door-bells and video-enabled lights. Embedded AI technology supports advanced functions, including intruder and pet detection, face recognition and package monitoring.</w:t>
      </w:r>
    </w:p>
    <w:p>
      <w:pPr>
        <w:spacing w:after="0" w:line="44" w:lineRule="exact"/>
        <w:rPr>
          <w:rFonts w:ascii="Times New Roman" w:cs="Times New Roman" w:eastAsia="Times New Roman" w:hAnsi="Times New Roman"/>
          <w:sz w:val="17"/>
          <w:szCs w:val="17"/>
          <w:color w:val="auto"/>
        </w:rPr>
      </w:pPr>
    </w:p>
    <w:p>
      <w:pPr>
        <w:ind w:left="740" w:right="20" w:hanging="368"/>
        <w:spacing w:after="0" w:line="248" w:lineRule="auto"/>
        <w:tabs>
          <w:tab w:leader="none" w:pos="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Portable Video Applications. </w:t>
      </w:r>
      <w:r>
        <w:rPr>
          <w:rFonts w:ascii="Times New Roman" w:cs="Times New Roman" w:eastAsia="Times New Roman" w:hAnsi="Times New Roman"/>
          <w:sz w:val="18"/>
          <w:szCs w:val="18"/>
          <w:color w:val="auto"/>
        </w:rPr>
        <w:t>Our SoCs are utilized in a wide range of portable video applications where low-power operation, compact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size, and high-performance video processing and on-device AI processing are critical design requirements. In the professional and public safety sectors, our SoCs are integrated into body-worn cameras used by law enforcement and security personnel who leverage AI based translation services running locally on the device. For these mission-critical applications, our solutions provide excellent low-light performance, efficient video compression with on device AI to maximize recording time, and the extended battery life necessary for a full operational shift. In the consumer market, our technology is foundational to products such as sports and action cameras, enabling features such as high-resolution 4K and 8K video capture, high-frame-rate recording for slow-motion effects, advanced electronic image stabilization (EIS) to produce smooth 360</w:t>
      </w:r>
      <w:r>
        <w:rPr>
          <w:rFonts w:ascii="Times New Roman" w:cs="Times New Roman" w:eastAsia="Times New Roman" w:hAnsi="Times New Roman"/>
          <w:sz w:val="24"/>
          <w:szCs w:val="24"/>
          <w:color w:val="auto"/>
          <w:vertAlign w:val="superscript"/>
        </w:rPr>
        <w:t>o</w:t>
      </w:r>
      <w:r>
        <w:rPr>
          <w:rFonts w:ascii="Times New Roman" w:cs="Times New Roman" w:eastAsia="Times New Roman" w:hAnsi="Times New Roman"/>
          <w:sz w:val="18"/>
          <w:szCs w:val="18"/>
          <w:color w:val="auto"/>
        </w:rPr>
        <w:t xml:space="preserve"> footage in dynamic environments, and on device AI based object detection, classification and noise reduction.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 Applications: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Cameras and other sensors, as well as high performance computing processors, are utilized for a variety of applications in the automotive market and our products are designed into both original equipment manufacturer (OEM) and aftermarket applications. We address both the safety (e.g., advanced driver assistance systems (ADAS) and autonomy automotive market applications: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ADAS, Safety and Telematics:</w:t>
      </w:r>
    </w:p>
    <w:p>
      <w:pPr>
        <w:spacing w:after="0" w:line="117" w:lineRule="exact"/>
        <w:rPr>
          <w:sz w:val="20"/>
          <w:szCs w:val="20"/>
          <w:color w:val="auto"/>
        </w:rPr>
      </w:pPr>
    </w:p>
    <w:p>
      <w:pPr>
        <w:ind w:left="1360" w:right="280" w:hanging="375"/>
        <w:spacing w:after="0" w:line="262" w:lineRule="auto"/>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Front Advanced Driver Assistance System (ADAS) Cameras. </w:t>
      </w:r>
      <w:r>
        <w:rPr>
          <w:rFonts w:ascii="Times New Roman" w:cs="Times New Roman" w:eastAsia="Times New Roman" w:hAnsi="Times New Roman"/>
          <w:sz w:val="18"/>
          <w:szCs w:val="18"/>
          <w:color w:val="auto"/>
        </w:rPr>
        <w:t>These front-facing cameras are often positioned behind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rearview mirror, enabling functions such as automatic emergency braking, lane departure warning, forward collision warning, intelligent headlight control, and speed assistance functions, many of which are required by an increasing number of regional New Car Assessment Programs, or NCAP.</w:t>
      </w:r>
    </w:p>
    <w:p>
      <w:pPr>
        <w:spacing w:after="0" w:line="68" w:lineRule="exact"/>
        <w:rPr>
          <w:rFonts w:ascii="Times New Roman" w:cs="Times New Roman" w:eastAsia="Times New Roman" w:hAnsi="Times New Roman"/>
          <w:sz w:val="18"/>
          <w:szCs w:val="18"/>
          <w:color w:val="auto"/>
        </w:rPr>
      </w:pPr>
    </w:p>
    <w:p>
      <w:pPr>
        <w:ind w:left="1360" w:hanging="375"/>
        <w:spacing w:after="0" w:line="262" w:lineRule="auto"/>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Cabin Monitoring System (CMS) and Driver Monitoring System (DMS) Cameras. </w:t>
      </w:r>
      <w:r>
        <w:rPr>
          <w:rFonts w:ascii="Times New Roman" w:cs="Times New Roman" w:eastAsia="Times New Roman" w:hAnsi="Times New Roman"/>
          <w:sz w:val="18"/>
          <w:szCs w:val="18"/>
          <w:color w:val="auto"/>
        </w:rPr>
        <w:t>These interior mounted cameras track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drivers and passengers to help prevent accidents by alerting a drowsy or distracted driver and assisting with the deployment of safety features, such as airbags. These interior cameras may also be utilized by telematic service providers to provide feedback on driver performance and behavior.</w:t>
      </w:r>
    </w:p>
    <w:p>
      <w:pPr>
        <w:spacing w:after="0" w:line="68" w:lineRule="exact"/>
        <w:rPr>
          <w:rFonts w:ascii="Times New Roman" w:cs="Times New Roman" w:eastAsia="Times New Roman" w:hAnsi="Times New Roman"/>
          <w:sz w:val="18"/>
          <w:szCs w:val="18"/>
          <w:color w:val="auto"/>
        </w:rPr>
      </w:pPr>
    </w:p>
    <w:p>
      <w:pPr>
        <w:ind w:left="1360" w:right="20" w:hanging="375"/>
        <w:spacing w:after="0" w:line="262" w:lineRule="auto"/>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AI Telematics Systems. </w:t>
      </w:r>
      <w:r>
        <w:rPr>
          <w:rFonts w:ascii="Times New Roman" w:cs="Times New Roman" w:eastAsia="Times New Roman" w:hAnsi="Times New Roman"/>
          <w:sz w:val="18"/>
          <w:szCs w:val="18"/>
          <w:color w:val="auto"/>
        </w:rPr>
        <w:t>The telematics market has historically addressed commercial vehicle applications that tracked location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calculate delivery information. Telematics systems are increasingly incorporating cameras and AI capabilities, which provide incremental safety and operational efficiencies for commercial fleet operators, and incremental average revenue per user, or ARPU, for telematics network operators.</w:t>
      </w:r>
    </w:p>
    <w:p>
      <w:pPr>
        <w:spacing w:after="0" w:line="68" w:lineRule="exact"/>
        <w:rPr>
          <w:rFonts w:ascii="Times New Roman" w:cs="Times New Roman" w:eastAsia="Times New Roman" w:hAnsi="Times New Roman"/>
          <w:sz w:val="18"/>
          <w:szCs w:val="18"/>
          <w:color w:val="auto"/>
        </w:rPr>
      </w:pPr>
    </w:p>
    <w:p>
      <w:pPr>
        <w:ind w:left="1360" w:right="240" w:hanging="375"/>
        <w:spacing w:after="0" w:line="262" w:lineRule="auto"/>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Electronic Mirrors. </w:t>
      </w:r>
      <w:r>
        <w:rPr>
          <w:rFonts w:ascii="Times New Roman" w:cs="Times New Roman" w:eastAsia="Times New Roman" w:hAnsi="Times New Roman"/>
          <w:sz w:val="18"/>
          <w:szCs w:val="18"/>
          <w:color w:val="auto"/>
        </w:rPr>
        <w:t>One or more cameras, in conjunction with an electronic display, are used to augment, or in some cases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replace, reflective glass rear view and/or side view mirrors to provide a wider and unobstructed field of view. Smart electronic mirrors that incorporate our AI SoCs may also help with detecting objects in blind spots, overtaking vehicles and alerting for vulnerable road users, such as pedestrians and bicycles.</w:t>
      </w:r>
    </w:p>
    <w:p>
      <w:pPr>
        <w:spacing w:after="0" w:line="18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012" w:right="359" w:bottom="1440" w:gutter="0" w:footer="0" w:header="0"/>
        </w:sectPr>
      </w:pPr>
    </w:p>
    <w:bookmarkStart w:id="7" w:name="page8"/>
    <w:bookmarkEnd w:id="7"/>
    <w:p>
      <w:pPr>
        <w:ind w:left="1880" w:right="380" w:hanging="375"/>
        <w:spacing w:after="0" w:line="291" w:lineRule="auto"/>
        <w:tabs>
          <w:tab w:leader="none" w:pos="18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Automotive Video Recorders (also known as data loggers). </w:t>
      </w:r>
      <w:r>
        <w:rPr>
          <w:rFonts w:ascii="Times New Roman" w:cs="Times New Roman" w:eastAsia="Times New Roman" w:hAnsi="Times New Roman"/>
          <w:sz w:val="17"/>
          <w:szCs w:val="17"/>
          <w:color w:val="auto"/>
        </w:rPr>
        <w:t>These video cameras are pre-installed in vehicles or mounted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(aftermarket) to record events for reconciliation, such as for insurance and liability, driver scoring or training, and security purposes. We offer solutions for both OEM and aftermarket drive recording devices, some of which include ADAS features.</w:t>
      </w:r>
    </w:p>
    <w:p>
      <w:pPr>
        <w:spacing w:after="0" w:line="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Autonomy:</w:t>
      </w:r>
    </w:p>
    <w:p>
      <w:pPr>
        <w:spacing w:after="0" w:line="117" w:lineRule="exact"/>
        <w:rPr>
          <w:sz w:val="20"/>
          <w:szCs w:val="20"/>
          <w:color w:val="auto"/>
        </w:rPr>
      </w:pPr>
    </w:p>
    <w:p>
      <w:pPr>
        <w:ind w:left="1500" w:right="180" w:hanging="369"/>
        <w:spacing w:after="0" w:line="256" w:lineRule="auto"/>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Central domain controllers for L2+ to L4 Autonomous Vehicles. </w:t>
      </w:r>
      <w:r>
        <w:rPr>
          <w:rFonts w:ascii="Times New Roman" w:cs="Times New Roman" w:eastAsia="Times New Roman" w:hAnsi="Times New Roman"/>
          <w:sz w:val="18"/>
          <w:szCs w:val="18"/>
          <w:color w:val="auto"/>
        </w:rPr>
        <w:t>We continue to advance our research in critical areas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autonomous vehicle development, such as vehicle detection, obstacle detection, pedestrian detection, lane detection, traffic sign recognition, stereovision processing, and sensor fusion and planning, enabling us to design strong platforms for applications ranging from Level2+ autopilot to full autonomy. The CV3 family enables centralized, single-chip processing for multi-sensor perception, including high-resolution vision, radar, ultrasonic and lidar, as well as deep fusion for multiple sensor modalities and autonomous vehicle path planning. In addition, the domain controller can simultaneously process in-cabin sensing applications, including driver and occupant monitoring.</w:t>
      </w:r>
    </w:p>
    <w:p>
      <w:pPr>
        <w:spacing w:after="0" w:line="74" w:lineRule="exact"/>
        <w:rPr>
          <w:rFonts w:ascii="Times New Roman" w:cs="Times New Roman" w:eastAsia="Times New Roman" w:hAnsi="Times New Roman"/>
          <w:sz w:val="18"/>
          <w:szCs w:val="18"/>
          <w:color w:val="auto"/>
        </w:rPr>
      </w:pPr>
    </w:p>
    <w:p>
      <w:pPr>
        <w:jc w:val="both"/>
        <w:ind w:left="1020" w:right="26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Emerging Robotic Applications. </w:t>
      </w:r>
      <w:r>
        <w:rPr>
          <w:rFonts w:ascii="Times New Roman" w:cs="Times New Roman" w:eastAsia="Times New Roman" w:hAnsi="Times New Roman"/>
          <w:sz w:val="18"/>
          <w:szCs w:val="18"/>
          <w:color w:val="auto"/>
        </w:rPr>
        <w:t>Our solutions can add intelligence to a range of partially or fully robotic applications, across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enterprise and home applications. Our advanced AI SoCs handle an array of complex algorithms, from low-level perception functions and neural networks to higher-level autonomous software stacks, while our neural network-based image signal processing (NN-ISP) provides advanced noise reduction to enable better performance in challenging lighting conditions such as high-contrast scenes and extremely low-light environments, all with low power consumption. We address the following robotic market applications:</w:t>
      </w:r>
    </w:p>
    <w:p>
      <w:pPr>
        <w:spacing w:after="0" w:line="71" w:lineRule="exact"/>
        <w:rPr>
          <w:rFonts w:ascii="Times New Roman" w:cs="Times New Roman" w:eastAsia="Times New Roman" w:hAnsi="Times New Roman"/>
          <w:sz w:val="18"/>
          <w:szCs w:val="18"/>
          <w:color w:val="auto"/>
        </w:rPr>
      </w:pPr>
    </w:p>
    <w:p>
      <w:pPr>
        <w:ind w:left="1880" w:right="60" w:hanging="375"/>
        <w:spacing w:after="0" w:line="254" w:lineRule="auto"/>
        <w:tabs>
          <w:tab w:leader="none" w:pos="18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Fixed robotics applications. </w:t>
      </w:r>
      <w:r>
        <w:rPr>
          <w:rFonts w:ascii="Times New Roman" w:cs="Times New Roman" w:eastAsia="Times New Roman" w:hAnsi="Times New Roman"/>
          <w:sz w:val="18"/>
          <w:szCs w:val="18"/>
          <w:color w:val="auto"/>
        </w:rPr>
        <w:t>Our SoCs are being adopted in fixed robotics applications where high-performance AI perception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essential for automating industrial and logistics processes. In environments such as factories and warehouses, our solutions provide the critical, low-latency processing required for systems to operate with speed and precision. Our newer SoCs are enabling a paradigm shift towards more interactive and intelligent automation. For example, our N1-655 and CV7 SoCs can run sophisticated vision language models (VLMs) and vision language agents (VLAs), allowing an automated inspection system to not only detect a defect but also respond to a natural language query from an operator, such as, "describe the type of scratch on the last part." This transforms these systems into physical AI agents that can perceive and react to their environment in real time, providing advanced automation capabilities that go beyond pre-programmed tasks to offer greater operational flexibility and higher overall system intelligence in applications like pick-and-place machines, automated inspection, and advanced barcode readers.</w:t>
      </w:r>
    </w:p>
    <w:p>
      <w:pPr>
        <w:spacing w:after="0" w:line="77" w:lineRule="exact"/>
        <w:rPr>
          <w:rFonts w:ascii="Times New Roman" w:cs="Times New Roman" w:eastAsia="Times New Roman" w:hAnsi="Times New Roman"/>
          <w:sz w:val="18"/>
          <w:szCs w:val="18"/>
          <w:color w:val="auto"/>
        </w:rPr>
      </w:pPr>
    </w:p>
    <w:p>
      <w:pPr>
        <w:ind w:left="1880" w:hanging="375"/>
        <w:spacing w:after="0" w:line="255" w:lineRule="auto"/>
        <w:tabs>
          <w:tab w:leader="none" w:pos="18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 robotics applications. </w:t>
      </w:r>
      <w:r>
        <w:rPr>
          <w:rFonts w:ascii="Times New Roman" w:cs="Times New Roman" w:eastAsia="Times New Roman" w:hAnsi="Times New Roman"/>
          <w:sz w:val="18"/>
          <w:szCs w:val="18"/>
          <w:color w:val="auto"/>
        </w:rPr>
        <w:t>In the rapidly expanding market for mobile robotics, our technology is a key enabler for intelligent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autonomous operation. Our SoCs are engineered to meet the stringent power, performance, and size constraints of battery-powered devices such as aerial drones and terrestrial robots. While our CV5 and CV7 SoCs provide the foundational AI processing for real-time perception, sensor fusion, and navigation, our N1-655 SoC adds a powerful new layer of intelligence. By enabling these robots to run VLMs and VLAs at the edge, our platforms can support advanced agentic behaviors. For example, a warehouse robot can be instructed with a complex command like, "find the pallet in aisle 7 with the damaged box and bring it to the inspection area." The robot can then use its perception system to navigate, identify the correct pallet based on a visual understanding of "damaged," and complete the task.</w:t>
      </w:r>
    </w:p>
    <w:p>
      <w:pPr>
        <w:spacing w:after="0" w:line="76" w:lineRule="exact"/>
        <w:rPr>
          <w:rFonts w:ascii="Times New Roman" w:cs="Times New Roman" w:eastAsia="Times New Roman" w:hAnsi="Times New Roman"/>
          <w:sz w:val="18"/>
          <w:szCs w:val="18"/>
          <w:color w:val="auto"/>
        </w:rPr>
      </w:pPr>
    </w:p>
    <w:p>
      <w:pPr>
        <w:ind w:left="1020" w:right="4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IoT Applications. </w:t>
      </w:r>
      <w:r>
        <w:rPr>
          <w:rFonts w:ascii="Times New Roman" w:cs="Times New Roman" w:eastAsia="Times New Roman" w:hAnsi="Times New Roman"/>
          <w:sz w:val="18"/>
          <w:szCs w:val="18"/>
          <w:color w:val="auto"/>
        </w:rPr>
        <w:t>Cameras for the enterprise, home, public spaces and consumer applications that provide powerful edge AI inference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processing capabilities together with high-definition (HD) video quality increasingly include embedded connectivity to share and display video. Our low power, high-resolution and connected solutions can be found in a variety of cameras, including video conferencing, access control, healthcare, medical and virtual reality applications. Our N1-655 SoCs can power edge AI boxes that aggregate multiple video, audio and other modality streams of data and providing local generative AI inferencing through VLM and LLM models.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platform technology solutions provide performance attributes that satisfy the stringent demands of the camera market, enable integration of HD video and image capture capabilities in portable devices, and provide computer vision and generative AI inference capabilities that address the evolving needs of the automotive and IoT markets. We believe that our leadership is the result of our competitive strengths, including: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8" w:name="page9"/>
    <w:bookmarkEnd w:id="8"/>
    <w:p>
      <w:pPr>
        <w:ind w:left="503" w:right="20" w:hanging="503"/>
        <w:spacing w:after="0" w:line="254"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AI, Radar and Computer Vision Architecture. </w:t>
      </w:r>
      <w:r>
        <w:rPr>
          <w:rFonts w:ascii="Times New Roman" w:cs="Times New Roman" w:eastAsia="Times New Roman" w:hAnsi="Times New Roman"/>
          <w:sz w:val="18"/>
          <w:szCs w:val="18"/>
          <w:color w:val="auto"/>
        </w:rPr>
        <w:t>Our proprietary CVflow AI processing architecture uses a flexible hardware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 programmed with a high level algorithm description to achieve increased performance while minimizing die size and power consumption. The CVflow architecture was initially designed for a variety of AI, radar and computer vision algorithms, including object detection, classification and tracking, semantic and instance segmentation, image processing, and stereo object detection. Our latest third generation CVflow technology enables us to efficiently process transformer AI networks for model sizes up to 34 billion parameters that address an estimated 90% of the broad edge AI requirements today. These networks facilitate computationally intense advanced AI applications and are foundational for more sophisticated reasoning and planning capabilities, including deep fusion, deep behavioral planning, LLMs, VLMs, VLAs, and reasoning models. To achieve holistic environmental perception, CVflow can process and fuse data from multiple sensing modalities, including cameras, 4D imaging radar, lidar, thermal, and near-infrared (NIR) sensors. This multi-modal capability is crucial for building robust AI agents. Furthermore, our CVflow architecture allows customers to differentiate their products by porting their own or third-party neural networks and AI algorithms, creating a flexible platform for innovation.</w:t>
      </w:r>
    </w:p>
    <w:p>
      <w:pPr>
        <w:spacing w:after="0" w:line="74" w:lineRule="exact"/>
        <w:rPr>
          <w:rFonts w:ascii="Times New Roman" w:cs="Times New Roman" w:eastAsia="Times New Roman" w:hAnsi="Times New Roman"/>
          <w:sz w:val="18"/>
          <w:szCs w:val="18"/>
          <w:color w:val="auto"/>
        </w:rPr>
      </w:pPr>
    </w:p>
    <w:p>
      <w:pPr>
        <w:ind w:left="503" w:right="20" w:hanging="503"/>
        <w:spacing w:after="0" w:line="254"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High-Performance, Low Power, AI, Video and Image Algorithm Expertise. </w:t>
      </w:r>
      <w:r>
        <w:rPr>
          <w:rFonts w:ascii="Times New Roman" w:cs="Times New Roman" w:eastAsia="Times New Roman" w:hAnsi="Times New Roman"/>
          <w:sz w:val="18"/>
          <w:szCs w:val="18"/>
          <w:color w:val="auto"/>
        </w:rPr>
        <w:t>Our extensive algorithm expertise, which facilitates efficient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 video and image compression, enables our solutions to achieve low power consumption without compromising performance. Our solutions support high resolution, high frame-rate and multi-stream video capabilities. Our solutions achieve high storage and transmission efficiencies through innovative and complex video and image compression algorithms that significantly reduce the output bitrate, directly benefiting the performance of our solutions in several ways, including lower memory storage requirements, reduced bandwidth needs for transmission and lower cloud storage costs. Our solutions can deliver clear images in low light conditions because of our advanced noise reduction, including 3D motion compensated temporal filtering (MCTF) and multiple exposure processing. Additionally, our HDR processing capabilities handle scenes with large dynamic range between the lightest and darkest areas to reveal details that would otherwise be lost in shadow or highlight areas. Our neural network-based image signal processing (NN-ISP) provides advanced noise reduction in extremely low lighting conditions. Our advanced de-warping capability enables cameras to use wide angle lenses, making it ideal for security camera, 3D electronic image stabilization and automotive surround view applications.</w:t>
      </w:r>
    </w:p>
    <w:p>
      <w:pPr>
        <w:spacing w:after="0" w:line="74" w:lineRule="exact"/>
        <w:rPr>
          <w:rFonts w:ascii="Times New Roman" w:cs="Times New Roman" w:eastAsia="Times New Roman" w:hAnsi="Times New Roman"/>
          <w:sz w:val="18"/>
          <w:szCs w:val="18"/>
          <w:color w:val="auto"/>
        </w:rPr>
      </w:pPr>
    </w:p>
    <w:p>
      <w:pPr>
        <w:jc w:val="both"/>
        <w:ind w:left="503" w:right="220" w:hanging="503"/>
        <w:spacing w:after="0" w:line="268"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Sensor Fusion</w:t>
      </w:r>
      <w:r>
        <w:rPr>
          <w:rFonts w:ascii="Times New Roman" w:cs="Times New Roman" w:eastAsia="Times New Roman" w:hAnsi="Times New Roman"/>
          <w:sz w:val="18"/>
          <w:szCs w:val="18"/>
          <w:color w:val="auto"/>
        </w:rPr>
        <w:t>. Our SoCs provide AI perception processing for cameras and software that enables efficient HD 4D radar perception.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CV3 SoC family implements centralized camera and radar perception processing on the same SoC, allowing data from all camera and radar sensors in the sensor suite to be fused at a deeper data level, which we believe will facilitate improved levels of perception accuracy.</w:t>
      </w:r>
    </w:p>
    <w:p>
      <w:pPr>
        <w:spacing w:after="0" w:line="62" w:lineRule="exact"/>
        <w:rPr>
          <w:rFonts w:ascii="Times New Roman" w:cs="Times New Roman" w:eastAsia="Times New Roman" w:hAnsi="Times New Roman"/>
          <w:sz w:val="18"/>
          <w:szCs w:val="18"/>
          <w:color w:val="auto"/>
        </w:rPr>
      </w:pPr>
    </w:p>
    <w:p>
      <w:pPr>
        <w:ind w:left="503" w:hanging="503"/>
        <w:spacing w:after="0" w:line="257"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Highly Integrated SoC Solutions Based on a Scalable Platform</w:t>
      </w:r>
      <w:r>
        <w:rPr>
          <w:rFonts w:ascii="Times New Roman" w:cs="Times New Roman" w:eastAsia="Times New Roman" w:hAnsi="Times New Roman"/>
          <w:sz w:val="18"/>
          <w:szCs w:val="18"/>
          <w:color w:val="auto"/>
        </w:rPr>
        <w:t>. Our product families leverage a flexible and highly-scalable SoC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core high-performance AI and video processing architecture combined with an extensive set of integrated peripherals. Our flexible and highly-scalable SoC platform enables our customers to address multiple applications and markets with reduced design cycles and costs. Our software compatible portfolio of products, with a broad range of performance and price points, allows our customers to develop a wide range of differentiated end products from a common software base. The scalability of our platform also enables us to respond quickly to address emerging markets and applications.</w:t>
      </w:r>
    </w:p>
    <w:p>
      <w:pPr>
        <w:spacing w:after="0" w:line="74" w:lineRule="exact"/>
        <w:rPr>
          <w:rFonts w:ascii="Times New Roman" w:cs="Times New Roman" w:eastAsia="Times New Roman" w:hAnsi="Times New Roman"/>
          <w:sz w:val="18"/>
          <w:szCs w:val="18"/>
          <w:color w:val="auto"/>
        </w:rPr>
      </w:pPr>
    </w:p>
    <w:p>
      <w:pPr>
        <w:ind w:left="503" w:right="20" w:hanging="503"/>
        <w:spacing w:after="0" w:line="255"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Comprehensive and Flexible Software</w:t>
      </w:r>
      <w:r>
        <w:rPr>
          <w:rFonts w:ascii="Times New Roman" w:cs="Times New Roman" w:eastAsia="Times New Roman" w:hAnsi="Times New Roman"/>
          <w:sz w:val="18"/>
          <w:szCs w:val="18"/>
          <w:color w:val="auto"/>
        </w:rPr>
        <w:t>. Our years of investment in developing and optimizing our comprehensive and flexible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serve as the foundation of our high-performance video application solutions. We provide our customers full-function software development kits with a suite of application programming interfaces or APIs, which allow customers to rapidly integrate our solution, adjust product specifications and provide additional functionality to their systems, thereby enabling them to differentiate their product offerings and reduce time to market. We also provide a toolkit to accelerate the development of computer vision algorithms onto our hardware. Additionally, our Cooper™ developer platform offers seamless integration of software, hardware, state-of-the-art (SOTA) AI models, and services that provide universal support for our entire portfolio of AI SoCs </w:t>
      </w:r>
      <w:r>
        <w:rPr>
          <w:rFonts w:ascii="Times New Roman" w:cs="Times New Roman" w:eastAsia="Times New Roman" w:hAnsi="Times New Roman"/>
          <w:sz w:val="18"/>
          <w:szCs w:val="18"/>
          <w:color w:val="2D373B"/>
        </w:rPr>
        <w:t>that we enabled with AI agents to drive faster time to market for our customers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D373B"/>
        </w:rPr>
        <w:t>partners.</w:t>
      </w:r>
    </w:p>
    <w:p>
      <w:pPr>
        <w:spacing w:after="0" w:line="76" w:lineRule="exact"/>
        <w:rPr>
          <w:rFonts w:ascii="Times New Roman" w:cs="Times New Roman" w:eastAsia="Times New Roman" w:hAnsi="Times New Roman"/>
          <w:sz w:val="18"/>
          <w:szCs w:val="18"/>
          <w:color w:val="auto"/>
        </w:rPr>
      </w:pPr>
    </w:p>
    <w:p>
      <w:pPr>
        <w:ind w:left="503" w:right="20" w:hanging="503"/>
        <w:spacing w:after="0" w:line="257"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Developer Zone</w:t>
      </w:r>
      <w:r>
        <w:rPr>
          <w:rFonts w:ascii="Times New Roman" w:cs="Times New Roman" w:eastAsia="Times New Roman" w:hAnsi="Times New Roman"/>
          <w:sz w:val="18"/>
          <w:szCs w:val="18"/>
          <w:color w:val="auto"/>
        </w:rPr>
        <w:t>. The developer zone is designed to help our growing ecosystem of partners learn, build and deploy edge AI applications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variety of edge systems with greater speed and clarity. The developer zone provides a collection of optimized AI models, along with low-code and no-code agentic blueprints, to enable the rapid development of edge AI applications on our portfolio of purpose-built edge AI SoCs with Cooper development software. The developer zone consolidates essential tools, documentation, models and community resources into a single destination, enabling system integrators, distributors, module builders, independent software vendor (ISV) and other global ecosystem partners to engage, prototype and accelerate edge AI solutions for a wide range of vertical industry segments.</w:t>
      </w:r>
    </w:p>
    <w:p>
      <w:pPr>
        <w:spacing w:after="0" w:line="18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16" w:right="339" w:bottom="1440" w:gutter="0" w:footer="0" w:header="0"/>
        </w:sectPr>
      </w:pPr>
    </w:p>
    <w:bookmarkStart w:id="9" w:name="page10"/>
    <w:bookmarkEnd w:id="9"/>
    <w:p>
      <w:pPr>
        <w:ind w:left="102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VLSI capabilities. </w:t>
      </w:r>
      <w:r>
        <w:rPr>
          <w:rFonts w:ascii="Times New Roman" w:cs="Times New Roman" w:eastAsia="Times New Roman" w:hAnsi="Times New Roman"/>
          <w:sz w:val="18"/>
          <w:szCs w:val="18"/>
          <w:color w:val="auto"/>
        </w:rPr>
        <w:t>A core component of our product differentiation is our highly specialized VLSI (Very Large Scale Integration)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expertise, which is fundamental to our ability to translate advanced architectural concepts into market-leading silicon. Our most recent SoC designs are built on 4 nm and 5 nm process technology, and we recently taped out our first SoC design on 2 nm process node. The design and implementation of SoCs at these advanced geometries present substantial engineering challenges and require deep, specialized expertise in areas such as physical design, power integrity, and signal timing. This leadership in VLSI design allows us to build a product roadmap that consistently leverages the benefits of the latest process technology, enabling us to deliver the AI performance, power efficiency, and functional integration levels required for next-generation edge and physical AI applications, a capability that is difficult for competitors on less advanced nodes to achieve.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a wide range of products in our portfolio, including products that have commercially shipped, products for which we have shipped engineering samples and products that are under development. We typically introduce two to three new silicon products per year which, when combined with our flexible software development kits, allow us to offer product families addressing the specific needs of a wide range of end markets. In addition to enabling small device size and low power consumption, our SoC solutions make possible differentiated functionalities, such as advanced AI functionality, simultaneous video and image capture, multiple-stream video capture, image stabilization and wireless connectivity.</w:t>
      </w:r>
    </w:p>
    <w:p>
      <w:pPr>
        <w:spacing w:after="0" w:line="17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Domain Controller. </w:t>
      </w:r>
      <w:r>
        <w:rPr>
          <w:rFonts w:ascii="Times New Roman" w:cs="Times New Roman" w:eastAsia="Times New Roman" w:hAnsi="Times New Roman"/>
          <w:sz w:val="18"/>
          <w:szCs w:val="18"/>
          <w:color w:val="auto"/>
        </w:rPr>
        <w:t>Our CV3-AD family of automotive AI domain controllers, targets L2+ to L4 autonomous vehicles and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robots. The third generation CVflow® AI accelerator includes neural network processing that is 20x faster than the previous generation of CV2 SoCs, along with additional general vector processing capabilities to provide the overall performance required for full autonomous driving (AD) stack processing, including computer vision, HD 4D radar, deep fusion and planning. It also integrates advanced image processing, a dense stereo and optical flow engine, Arm® Cortex® A78AE and R52 CPUs, an automotive GPU for visualizations, and a hardware security module (HSM). The CV3-AD685 is an “algorithm first” architecture that provides support for the entire AD software stack.</w:t>
      </w:r>
    </w:p>
    <w:p>
      <w:pPr>
        <w:spacing w:after="0" w:line="182"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CVflow SoCs. </w:t>
      </w:r>
      <w:r>
        <w:rPr>
          <w:rFonts w:ascii="Times New Roman" w:cs="Times New Roman" w:eastAsia="Times New Roman" w:hAnsi="Times New Roman"/>
          <w:sz w:val="18"/>
          <w:szCs w:val="18"/>
          <w:color w:val="auto"/>
        </w:rPr>
        <w:t>Multiple generations of our AI accelerator architecture have been developed, and all our new product families incorporate the 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extract and process data from video streams, enabling our customers to develop intelligent camera systems. These SoCs combine advanced image processing, high-resolution video encoding and CVflow AI processing in a single, low-power design to enable a new class of smart edge devices for applications including smart home security, retail monitoring, consumer robotics, and occupancy monitoring. Some of our CVflow SoCs are manufactured to satisfy the functional safety requirements of the automotive market. Our third generation CVflow-based SoCs enable efficient processing of transformer AI networks, which are an enabling technology for next generation automotive and generative AI markets.</w:t>
      </w:r>
    </w:p>
    <w:p>
      <w:pPr>
        <w:spacing w:after="0" w:line="182"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 Neural Processor. </w:t>
      </w:r>
      <w:r>
        <w:rPr>
          <w:rFonts w:ascii="Times New Roman" w:cs="Times New Roman" w:eastAsia="Times New Roman" w:hAnsi="Times New Roman"/>
          <w:sz w:val="18"/>
          <w:szCs w:val="18"/>
          <w:color w:val="auto"/>
        </w:rPr>
        <w:t>Based on our proprietary architecture, our N1 SoC provides highly-efficient AI performance for neural network computation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combination with a general vector processor (GVP), an advanced image processor, a dense stereo and optical flow engine, and a GPU, in a single SoC. The N1 is designed for implementing industrial robotics, smart cities, intelligent healthcare imaging and diagnostics, multi-camera AI processing hubs, edge AI servers running multi-modal LLMs, VLMs, VLAs and autonomous fleet telematics.</w:t>
      </w:r>
    </w:p>
    <w:p>
      <w:pPr>
        <w:spacing w:after="0" w:line="176" w:lineRule="exact"/>
        <w:rPr>
          <w:sz w:val="20"/>
          <w:szCs w:val="20"/>
          <w:color w:val="auto"/>
        </w:rPr>
      </w:pPr>
    </w:p>
    <w:p>
      <w:pPr>
        <w:ind w:right="2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Vision Processor SoCs. </w:t>
      </w:r>
      <w:r>
        <w:rPr>
          <w:rFonts w:ascii="Times New Roman" w:cs="Times New Roman" w:eastAsia="Times New Roman" w:hAnsi="Times New Roman"/>
          <w:sz w:val="18"/>
          <w:szCs w:val="18"/>
          <w:color w:val="auto"/>
        </w:rPr>
        <w:t>Our video and image processing SoCs integrate an advanced image sensor pipeline (ISP), H.264 and/or H.265 encoders,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 powerful ARM CPU for advanced analytics, flight control, WiFi streaming, and other user applications. Our unique architecture and advanced process node technology lower power consumption while maintaining high performance for security camera and consumer applications such as drones, sports cameras, and 360º (VR) cameras.</w:t>
      </w:r>
    </w:p>
    <w:p>
      <w:pPr>
        <w:spacing w:after="0" w:line="176"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High Definition Radar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adaptive AI software algorithms designed to enable radar perception using current production radar chips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significantly higher resolution, longer range and greater accuracy. These improvements eliminate the need for specialized high-resolution radar chips, which have significantly higher power consumption and cost than conventional radar solutions. We recently introduced a centralized radar architecture that leverages adaptive AI software algorithms together with our CV3 processor family to enable both central processing of raw radar data and deep, low-level fusion with other sensor inputs, including cameras, lidar and ultrasonics.</w:t>
      </w:r>
    </w:p>
    <w:p>
      <w:pPr>
        <w:spacing w:after="0" w:line="179"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Serializer/Deserializers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B8 SerDes (Serializer/Deserializer) product is a mixed-signal (analog and digital) semiconductor used to transport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 distances (up to 10 meters) from a CMOS image sensor, often in a remote camera location, to our video and AI SoCs. The SerDes chips are used to add additional camera(s) to an automotive application, as well as used as a bridge chip for other automotive applications, such as a MIPI combiner, splitter or display driver. Our SerDes chips are also used in security applications such as ATMs that can use a single B8 chip for connecting multiple remote cameras to a single video processor SoC.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Software Modules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separately license proprietary software modules that can be used in conjunction with a customer’s internal software and/or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third-party software. Features that may be licensed include functionality for a variety of automotive applications, including dataloggers, ADAS and autonomous driving systems, eMirrors and in-cabin applications. Additionally, our neural-network image signal processing (NN-ISP) software module improves low light imaging in security camera applications.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24" w:right="5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chart below describes our current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5520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552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semiconductor solutions are engineered to enable intelligent automation and physical AI at the edge, capable of processing data from a variety of sensor modalities and digital data feeds. These solutions facilitate HD, Ultra HD (UHD) and 8K UHD (up to 7680 x 4320p60) video and image processing, video compression, and advanced AI processing of CNN, LLM, VLM and VLA generative models while offering exceptional power, size, and performance characteristics.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differentiators of our technology include:</w:t>
      </w:r>
    </w:p>
    <w:p>
      <w:pPr>
        <w:spacing w:after="0" w:line="117" w:lineRule="exact"/>
        <w:rPr>
          <w:sz w:val="20"/>
          <w:szCs w:val="20"/>
          <w:color w:val="auto"/>
        </w:rPr>
      </w:pPr>
    </w:p>
    <w:p>
      <w:pPr>
        <w:jc w:val="both"/>
        <w:ind w:left="1500" w:hanging="369"/>
        <w:spacing w:after="0" w:line="266"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and scalable CVflow processors for deep learning, 4D imaging radar processing and other AI algorithms. They are designed to run multiple, concurrent AI models, including modern transformer networks, to enable complex agentic behaviors across a broad range of consumer, professional and automotive requirements with industry-leading power and die size efficiency;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ind w:left="1500" w:right="40" w:hanging="369"/>
        <w:spacing w:after="0" w:line="282"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stereo/optical flow processing engines that enable robust depth perception and motion analysis, which are critical for AI processing by agents to navigate and interact in physical environments with high performance and power efficiency;</w:t>
      </w:r>
    </w:p>
    <w:p>
      <w:pPr>
        <w:spacing w:after="0" w:line="53"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image processing and video compression engines that cover consumer, professional and automotive requirements from Full HD to 8K video performance levels as well as multiple image sensors simultaneously to support multiple viewpoints, including surround view and virtual reality applications;</w:t>
      </w:r>
    </w:p>
    <w:p>
      <w:pPr>
        <w:spacing w:after="0" w:line="67" w:lineRule="exact"/>
        <w:rPr>
          <w:rFonts w:ascii="Times New Roman" w:cs="Times New Roman" w:eastAsia="Times New Roman" w:hAnsi="Times New Roman"/>
          <w:sz w:val="18"/>
          <w:szCs w:val="18"/>
          <w:color w:val="auto"/>
        </w:rPr>
      </w:pPr>
    </w:p>
    <w:p>
      <w:pPr>
        <w:ind w:left="1500" w:right="400" w:hanging="369"/>
        <w:spacing w:after="0" w:line="282"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for image processing including deep learning augmented processing for challenging low light and high dynamic range conditions for robust perception for both AI agents and human viewing with high power efficiency;</w:t>
      </w:r>
    </w:p>
    <w:p>
      <w:pPr>
        <w:spacing w:after="0" w:line="53" w:lineRule="exact"/>
        <w:rPr>
          <w:rFonts w:ascii="Times New Roman" w:cs="Times New Roman" w:eastAsia="Times New Roman" w:hAnsi="Times New Roman"/>
          <w:sz w:val="18"/>
          <w:szCs w:val="18"/>
          <w:color w:val="auto"/>
        </w:rPr>
      </w:pPr>
    </w:p>
    <w:p>
      <w:pPr>
        <w:ind w:left="1500" w:right="180" w:hanging="369"/>
        <w:spacing w:after="0" w:line="282"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and software for scalable and robust HD 4D radar processing using sparse antenna arrays, machine learning and adaptive transmit waveforms for lower cost and better power efficiency;</w:t>
      </w:r>
    </w:p>
    <w:p>
      <w:pPr>
        <w:spacing w:after="0" w:line="53" w:lineRule="exact"/>
        <w:rPr>
          <w:rFonts w:ascii="Times New Roman" w:cs="Times New Roman" w:eastAsia="Times New Roman" w:hAnsi="Times New Roman"/>
          <w:sz w:val="18"/>
          <w:szCs w:val="18"/>
          <w:color w:val="auto"/>
        </w:rPr>
      </w:pPr>
    </w:p>
    <w:p>
      <w:pPr>
        <w:ind w:left="1500" w:right="500" w:hanging="369"/>
        <w:spacing w:after="0" w:line="282"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learning algorithms and software for multi class 2D/3D object detection and segmentation, including vehicles, pedestrians, cycles, road markings, traffic signs and traffic lights optimized for our CV2 and CV3 SoC families;</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and software for stereo obstacle detection to provide robust safety in the event of obstacles that are not in the training data;</w:t>
      </w:r>
    </w:p>
    <w:p>
      <w:pPr>
        <w:spacing w:after="0" w:line="117" w:lineRule="exact"/>
        <w:rPr>
          <w:rFonts w:ascii="Times New Roman" w:cs="Times New Roman" w:eastAsia="Times New Roman" w:hAnsi="Times New Roman"/>
          <w:sz w:val="18"/>
          <w:szCs w:val="18"/>
          <w:color w:val="auto"/>
        </w:rPr>
      </w:pPr>
    </w:p>
    <w:p>
      <w:pPr>
        <w:ind w:left="1500" w:hanging="369"/>
        <w:spacing w:after="0" w:line="312" w:lineRule="auto"/>
        <w:tabs>
          <w:tab w:leader="none" w:pos="1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comprehensive "perceive-plan-act" software stack optimized for our CV3 SoC family, including multi-modal sensor fusion, mapping and localization algorithms, and behavioral and path planning, which together form the core of an autonomous physical AI agent;</w:t>
      </w:r>
    </w:p>
    <w:p>
      <w:pPr>
        <w:spacing w:after="0" w:line="31" w:lineRule="exact"/>
        <w:rPr>
          <w:rFonts w:ascii="Times New Roman" w:cs="Times New Roman" w:eastAsia="Times New Roman" w:hAnsi="Times New Roman"/>
          <w:sz w:val="17"/>
          <w:szCs w:val="17"/>
          <w:color w:val="auto"/>
        </w:rPr>
      </w:pPr>
    </w:p>
    <w:p>
      <w:pPr>
        <w:ind w:left="1500" w:right="460" w:hanging="369"/>
        <w:spacing w:after="0" w:line="266"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development kits comprised of application programming interfaces, or APIs, to facilitate integration into customers’ products; and tools for porting and optimizing customer deep neural networks, or DNNs, developed in industry standard training frameworks;</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low-power architecture with minimal system memory footprint; and</w:t>
      </w:r>
    </w:p>
    <w:p>
      <w:pPr>
        <w:spacing w:after="0" w:line="117" w:lineRule="exact"/>
        <w:rPr>
          <w:rFonts w:ascii="Times New Roman" w:cs="Times New Roman" w:eastAsia="Times New Roman" w:hAnsi="Times New Roman"/>
          <w:sz w:val="18"/>
          <w:szCs w:val="18"/>
          <w:color w:val="auto"/>
        </w:rPr>
      </w:pPr>
    </w:p>
    <w:p>
      <w:pPr>
        <w:jc w:val="both"/>
        <w:ind w:left="1500" w:right="660" w:hanging="369"/>
        <w:spacing w:after="0" w:line="282"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programmable architecture that balances flexibility, quality, power and die size with powerful CPUs and optimized hardware acceleration to support a wide range of intelligent automation and advanced processing for edge and physical AI applications.</w:t>
      </w:r>
    </w:p>
    <w:p>
      <w:pPr>
        <w:spacing w:after="0" w:line="16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Our technology platform is based on a high-performance, low-power architecture supported by a high level of system integration. The building blocks of our platform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114300</wp:posOffset>
            </wp:positionV>
            <wp:extent cx="4363085" cy="3025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6308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CVflow</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proprietary CVflow® AI processing architecture, uses a flexible hardware accelerator programmed with a data flow graph algorithm description to achieve increased performance while minimizing die size and power consumption. This description allows the hardware to maximize use of its resources by exploiting all available parallelism without software intervention. The CVflow architecture specifies data flow connections between a set of optimized AI and computer vision operators, such as the convolution and matrix multiply functions that are used for deep learning algorithms. Our CVflow engine is also capable of running large language model inferencing, with models up to 34 billion parameters run on a single N-1 SoC. The CVflow architecture was traditionally designed for a variety of AI, radar and computer vision algorithms, including object detection, classification and tracking, semantic and instance segmentation, image processing, and stereo object detection. Our latest third generation CVflow technology enables us to efficiently process transformer AI networks. These networks facilitate computationally intense advanced AI applications and are foundational for more sophisticated reasoning and planning capabilities, including deep fusion, deep behavioral planning, LLMs, VLMs, VLAs and reasoning models. To achieve holistic environmental perception, CVflow can process and fuse data from multiple sensing modalities, including cameras, 4D imaging radar, lidar, thermal, and near-infrared (NIR) sensors. This multi-modal capability is crucial for building robust AI agents. Furthermore, our CVflow architecture allows customers to differentiate their products by porting their own or third-party neural networks and AI algorithms using industry standard tools.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Computer Vision and Radar Technology</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Computer vision is a core technology that complements our proprietary image processing and video compression technology. We have developed efficient deep learning algorithms for object detection and segmentation leveraging our deep understanding of the CVflow processor. A significant feature of our third generation CVflow SoCs is support for HD stereo and HD radar-based depth and velocity sensing. We believe HD stereo and HD radar are complementary sensor modalities that provide robust depth information after fusion. This depth information provides an important augmentation to monocular computer vision processing, resulting in an extra margin of safety for autonomous driving and other applications. Monocular processing depends on training to detect obstacles, and may not detect obstacles that are not represented in the training set. Stereo cameras and radar detect obstacles without relying on training for specific obstacle categories because the depth information is used to directly construct a three-dimensional model of the camera’s surroundings, including any obstacles. This allows more robust decisions to be made in applications such as autonomous driving.</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Auto Software Modules</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optimized software modules give customers the option to leverage our expertise and reduce development time and expense. These modules include HD radar processing for standalone and central radar processing, deep learning based low light and HDR image processing, monocular and stereo camera perception, and autonomous driving stack modules optimized for the CV3 family, including fusion for multiple cameras and sensor modalities, mapping and localization algorithms and planning.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Cooper Development Platform</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D373B"/>
        </w:rPr>
        <w:t>Our Cooper Development Platform offers seamless integration of software, hardware, state-of-the-art fine-tuned AI models, and services that support our entire portfolio of AI SoCs. This platform simplifies use of our AI SoCs by providing a flexible, modular and prepackaged suite of hardware and software development tools, comprising Cooper Metal, a collection of AI SoCs and board-level hardware solutions; and Cooper Foundry, a multi-layer software stack.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sell our solutions to leading original design manufacturers, or ODMs, and original equipment manufacturers, or OEMs, globally. In the automotive OEM market, we may sell our solutions to Tier-1 suppliers that develop and sell devices incorporating our solutions to automotive OEMs. We refer to ODMs and Tier-1 suppliers as our customers and OEMs as our end customers, except as otherwise indicated or as the context otherwise requires.</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Sales to customers in Asia accounted for approximately 88%, 85%, and 79% of our total revenue in the fiscal years ended January 31, 2026, 2025, and 2024, respectively. As many of our OEM end customers or their ODM manufacturers are located in Asia, we anticipate that a majority of our revenue will continue to come from sales to customers in that region. Although a large percentage of our sales are made to customers in Asia, we believe that a significant number of the products designed by these customers and incorporating our SoCs are then sold to consumers globally. To date, substantially all our sales have been denominated in U.S. dollars.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ind w:firstLine="509"/>
        <w:spacing w:after="0" w:line="256" w:lineRule="auto"/>
        <w:rPr>
          <w:sz w:val="20"/>
          <w:szCs w:val="20"/>
          <w:color w:val="auto"/>
        </w:rPr>
      </w:pPr>
      <w:r>
        <w:rPr>
          <w:rFonts w:ascii="Times New Roman" w:cs="Times New Roman" w:eastAsia="Times New Roman" w:hAnsi="Times New Roman"/>
          <w:sz w:val="18"/>
          <w:szCs w:val="18"/>
          <w:color w:val="auto"/>
        </w:rPr>
        <w:t>We work closely with our end customer OEMs and ODMs throughout their product design cycles that often last twelve to eighteen months for many of our target markets, although new products may have longer design cycles, particularly those implementing advanced AI features. Product design cycles for certain portions of the automotive market generally last longer than eighteen months, particularly for products containing user safety features. As a result, we can develop long-term relationships with our customers as our technology becomes embedded in their products. Consequently, we believe we are well positioned to not only be designed into our customers’ current products, but also to continue to develop next-generation AI solutions for their future products.</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product life cycles in many of our target markets typically range from twelve to 24 months. We expect that product lifecycles in the automotive OEM and robotics markets will typically be longer than 24 months, as new product introductions occur less frequently. For many of our solutions, early engagement with our customers’ technical staff is necessary for success.</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fiscal year 2026, the customer representing 10% or more of revenue was WT Microelectronics Co., Ltd., formerly Wintech Microelectronics Co., Ltd., or WT, our non-exclusive sales representative and fulfillment partner in Asia other than Japan, which accounted for approximately 70% of total revenue. We currently rely, and expect to continue to rely, on a limited number of customers for a significant portion of our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sell our solutions worldwide using our direct sales force and our distributors. We have direct sales personnel covering the United States, Asia and Europe, and we operate sales offices in Santa Clara, California and Hong Kong, and business development offices in China, Germany, Japan, South Korea, and Taiwan. In addition, in each of these locations we employ a staff of field applications engineers to provide direct engineering support locally to our customers.</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AI and video and image processing solution, but the eventual design and incorporation of our SoC into the product may be handled by an ODM or Tier-1 supplier on behalf of the OEM. Volume production may begin within 12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sales are generally made pursuant to purchase orders received approximately 20 to 30 weeks prior to the scheduled product delivery date, depending upon agreed terms with our customers and the current manufacturing lead time at the time the purchase order is received. Typically, these purchase orders may not be cancelled or modified without our written consent. Our standard warranty provides that our SoCs containing defects in materials, workmanship or performance may be returned for a refund of the purchase price or for replacement, at our discretion. We may agree to different warranty terms with specific customers from time to time.</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sales are primarily made through standard purchase orders for delivery of products. Our manufacturing production is based on estimates and advance non-binding commitments from customers as to future purchases. We follow industry practice that generally allows customers to change or defer orders with limited advance notice prior to shipment, often without penalty. Given this practice, we do not believe that backlog is a reliable indicator of future revenue levels, except on a short-term basis, principally within our average lead times.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employ a fabless business model and use third-party foundries and assembly and test contractors to manufacture, assemble and test our solutions. This outsourced manufacturing approach allows us to focus our resources on the design, sales and marketing of our solutions and avoid the cost associated with owning and operating our own manufacturing facility. Our engineers work closely with foundries and other contractors to increase yields, lower manufacturing costs and improve quality. In addition, we believe outsourcing many of our manufacturing and assembly activities provides us the flexibility needed to respond to new market opportunities, simplifies our operations and significantly reduces our capital requirements. We do not have a guaranteed level of production capacity from any of our suppliers’ facilities to produce our solutions. We carefully qualify each of our suppliers and their subcontractors and processes in order to meet the extremely high-quality and reliability standards required of our solutions.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Wafer Fabrication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 history of using several process nodes from 130 nm through 4 nm. 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efficiency. We believe this strategy will help us remain competitive. We currently manufacture our solutions in the 10 nm, 5 nm and 4 nm process nodes, and recently taped out our first SoC design in the 2 nm process node. Currently, the substantial majority of our SoCs are supplied by Samsung Electronics Corporation (Samsung) in facilities located in Austin, Texas and South Korea, from whom we have the option to purchase both fully-assembled and tested products as well as tested die in wafer form for assembly. Our foundry vendors are ISO 9001 certified.</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Assembly and Testing</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our products is handled primarily by Sigurd Corporation or King Yuan Electronics Co., Ltd. under the supervision of our engineers. All test software and related processes for our products are developed by our engineers. We continually monitor the results of testing at all our test contractors to ensure that our testing procedures are properly implemented.</w:t>
      </w:r>
    </w:p>
    <w:p>
      <w:pPr>
        <w:spacing w:after="0" w:line="18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part of our total quality assurance program, our quality management system has been certified to ISO 9001:2015 standards. Our assembly and testing vendors are also ISO 9001 certified.</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Due to the scheduling requirements of our foundry, assembly and test contractors, we generally provide our contractors with our production forecasts and place firm orders for products with our suppliers up to 40 weeks prior to the anticipated delivery date, or potentially longer during times of acute capacity shortages, usually without a purchase order from our own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our technology is a competitive advantage and we engage in substantial research and development efforts to develop new products and integrate AI functionality into our video processing solutions. We believe that our continued success depends on our ability to both introduce improved versions of our existing solutions and to develop new solutions for the markets that we serve. As of January 31, 2026, approximately 75% of our employees are engaged in research and development. Our research and development team is comprised of both semiconductor and software designers. Our semiconductor design team has extensive experience in large-scale semiconductor design, including architecture description, logic and circuit design, implementation and verification. Our software design team has extensive experience in development and verification of video processing, AI deep learning and adaptive AI radar software. Because the integration of hardware and software is a key competitive advantage of our solutions, our hardware and software design teams work closely together throughout the product development process. The experience of our hardware and software design teams enables us to effectively assess tradeoffs and advantages when determining which features and capabilities of our solutions should be implemented in hardware and in software.</w:t>
      </w:r>
    </w:p>
    <w:p>
      <w:pPr>
        <w:spacing w:after="0" w:line="8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have assembled a core team of experienced engineers and systems designers in four research and development design centers located in the United States, China, Italy, and Taiwan.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global semiconductor market in general, and the AI and video and image processing markets in particular, are highly competitive. We expect competition to increase and intensify as more and larger semiconductor companies enter our markets and as we penetrate new markets, such as the automotive OEM market. Increased competition could result in price pressure, reduced profitability and loss of market share, any of which could materially and adversely affect our business, revenue and operating results.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competitors range from large, international companies offering a wide range of semiconductor products to smaller companies specializing in narrow markets. In the IoT market, our primary competitors include HiSilicon Technologies Co., Ltd., or HiSilicon, which is owned by Huawei Technologies Co., Novatek Microelectronics Corp., or Novatek, NVIDIA Corporation, or NVIDIA, Qualcomm Incorporated, or Qualcomm, and Sigmastar Technology Ltd. In the automotive camera market, we compete against Horizon Robotics Inc., Mobileye, a subsidiary of Intel Corporation, Novatek, NVIDIA, Qualcomm, Renesas Electronics Corporation, and Texas Instruments. Certain of our customers and suppliers also have divisions that produce products that compete with ours.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 w:name="page17"/>
    <w:bookmarkEnd w:id="16"/>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which may enable them to develop and enable new technology into product solutions better or faster than us and to better withstand adverse economic or market conditions in the future.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compete successfully in the rapidly evolving camera markets depends on several factors, including:</w:t>
      </w:r>
    </w:p>
    <w:p>
      <w:pPr>
        <w:spacing w:after="0" w:line="117" w:lineRule="exact"/>
        <w:rPr>
          <w:sz w:val="20"/>
          <w:szCs w:val="20"/>
          <w:color w:val="auto"/>
        </w:rPr>
      </w:pPr>
    </w:p>
    <w:p>
      <w:pPr>
        <w:ind w:left="1020" w:right="6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manufacturing of new solutions, including software, that anticipate the video processing and integration needs of our customers’ next-generation products and applications;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our AI solutions, as measured by convolutional neural network performance and/or transformer neural network performance, video and still picture image quality, resolution and frame processing rates;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consumption efficiency of our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implementation of our products by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customer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the foundry process technology and architecture tradeoffs to meet customers’ product requirements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total solution.</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overall, we compete favorably with respect to these factors, particularly because our solutions typically provide high-quality video, and low power consumption, efficient CNN and transformer performance, efficient integration of advanced algorithms, exceptional storage and transmission efficiencies, highly-integrated SoC solutions based on a scalable platform, and comprehensive and flexible software. We cannot ensure, however, that our solutions will continue to compete favorably or that we will be successful in the face of increasing competition from new products introduced by existing or new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-445770</wp:posOffset>
            </wp:positionV>
            <wp:extent cx="28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patents, trade secrets, copyrights and trademarks, and contractual protections, to protect our core technology and intellectual property. As of January 31, 2026, we had 390 issued patents in the United States, 149 of which were continuation or divisional patents, 14 issued patents in Europe, 24 issued patents in China, 8 issued patents in Japan and 58 pending patent applications in the United States. The issued patents in the United States expire beginning in 2025 through 2044. Our issued patents and pending patent applications primarily relate to image and video processing and HD video compression, AI processing, system level camera, and radar perception applications spanning multiple market segments</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not receive competitive advantages from any rights granted under our patents, and our patent applications may not result in the issuance of any new patents. In addition, any patent we hold may be opposed, contested, circumvented, designed around or found to be unenforceable or invalidated. Others may develop technologies that are similar or superior to our proprietary technologies, duplicate our proprietary technologies or design around patents owned or licensed by us.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own intellectual property, we also use third-party licenses for certain technologies embedded in our SoC solutions. These are typically non-exclusive contracts provided under royalty-accruing or paid-up licenses. These licenses are generally perpetual or automatically renewed for so long as we continue to pay any maintenance fees that may be due. To date, maintenance fees have not constituted a significant portion of our capital expenditures. While we do not believe our business is dependent to any significant degree on any individual third-party license, we expect to continue to use and may license additional third-party technology for our solutions.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17" w:name="page18"/>
    <w:bookmarkEnd w:id="17"/>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intellectual property, unauthorized parties may still copy or otherwise obtain and use our software, technology or other information that we regard as proprietary intellectual property. In addition, we continue to operate internationally, and effective patent, copyright, trademark and trade secret protection may not be available or may be limited in foreign countries.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has tended to be seasonal with higher revenue in our second and third fiscal quarters as our customers typically increase their production to meet holiday shopping season or year-end demand for their products. We also may experience seasonally lower demand in our first and fourth fiscal quarters. These seasonal fluctuations may diminish if our revenue diversifies and becomes less dependent on sales of our customers’ consumer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business and operations around the world are subject to government regulation at the national, state or local level addressing, among other matters, applicable environmental laws, health and safety laws and regulations, laws relating to export controls and economic sanctions, and the rules of industrial standards bodies such as the International Standards Organization and governmental agencies such as the Federal Trade Commission.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properties and operations comply in all material respects with applicable laws protecting the environment and worker health and safety. As a fabless semiconductor company, we do not manufacture our own products but do maintain laboratory space at certain of our facilities to facilitate the development, evaluation and testing of our SoC products. To date, we have not incurred significant expenditures relating to environmental compliance at our facilities nor have we experienced any material issues relating to employee health and safety.</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to environmental and worker health and safety laws, our business is subject to various rules and regulations and executive orders relating to export controls and trade sanctions. Certain of our products are subject to the Export Administration Regulations (EAR), which are administered by the United States Department of Commerce’s Bureau of Industry and Security (BIS), and we may from time to time be required to obtain an export license before we can export certain products or technology to specified countries or customers. In addition, the EAR imposes broad controls on entities listed on sanctioned persons lists, including the BIS Entity List. If one of our customers is listed on the BIS Entity List or another U.S. government sanctioned persons’ list, then subject to certain exceptions, we will, as a general rule, be precluded from doing business with that customer. We cannot guarantee that export control restrictions or sanctions imposed in the future will not prevent, or materially limit, our ability to conduct business with certain customers or in certain countries. Any failure to comply with these laws could result in governmental enforcement actions, including substantial monetary penalties and denial of export privileges.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Innovation has been the lifeblood of our company since our founding in 2004. We continually strive to develop leading-edge image and video, and now AI, processors using the most advanced semiconductor processes available to create high performance, power efficient SoCs. We depend on our people to sustain our competitive advantages.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January 31, 2026, we employed a total of 959 people, including 252 in the United States, 612 in Asia, with 372 in Taiwan and 225 in China, and 95 in Europe. Approximately 75% of our employees are engaged in research and development, 23% in sales, marketing and administration and 2% in operations. As of January 31, 2026, women represented 33% of our independent board members, 15% of senior management, 17% of our technical roles, and 21% of our total workforce. Of our total employee workforce, approximately 39% is represented by a work council in Taiwan. The work council group, which is common in Taiwan, is comprised of employees elected by the general employee base in that location. We consider our global employee relations to be good. Despite employees working in geographically disparate locations and differences in cultures, we strive to treat all employees as part of one team working together. Our Chief Executive Officer holds quarterly town hall style meetings with employees of all our offices to keep employees apprised of company activities and objectives and to provide an opportunity for all employees to meet and ask questions. All employees receive training in the prevention of sexual harassment and abusive conduct in the workplace.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8" w:name="page19"/>
    <w:bookmarkEnd w:id="18"/>
    <w:p>
      <w:pPr>
        <w:ind w:firstLine="509"/>
        <w:spacing w:after="0" w:line="253" w:lineRule="auto"/>
        <w:rPr>
          <w:sz w:val="20"/>
          <w:szCs w:val="20"/>
          <w:color w:val="auto"/>
        </w:rPr>
      </w:pPr>
      <w:r>
        <w:rPr>
          <w:rFonts w:ascii="Times New Roman" w:cs="Times New Roman" w:eastAsia="Times New Roman" w:hAnsi="Times New Roman"/>
          <w:sz w:val="18"/>
          <w:szCs w:val="18"/>
          <w:color w:val="auto"/>
        </w:rPr>
        <w:t>Our human capital resources objectives include attracting and retaining talented and experienced employees. We utilize multiple online search tools, specialized recruiting firms, employee referral programs and university hires to ensure a varied outreach approach for candidates. We are committed to ensuring the human rights of our worldwide workforce and treating all employees with dignity and respect.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both stockholder value and the success of our company by motivating such individuals to perform to the best of their abilities and achieve our short term and long-term objectives. We offer competitive benefits tailored to local markets and laws and designed to support employee health, welfare and retirement; examples of such benefits include paid time off; 401(k), pension or other retirement plans; an employee stock purchase plan; basic and voluntary life, disability and supplemental insurance; medical, dental and vision insurance; health savings and flexible spending accounts; relocation assistance; and employee assistance programs. As of January 31, 2026, approximately 92% of eligible U.S. employees participate in our 401(k) plan, and 88% of eligible employees participated in the most recent offering period of our employee stock purchase plan.</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average tenure of our employees is approximately 8.1 years and approximately 31% of our employees have been employed by us for more than 10 years. We believe our compensation and benefits packages, combined with our culture that promotes teamwork, innovation and hands-on experience from the first day of employment, contribute to low employee turnover and an above-average tenure. We monitor employee turnover rates by region and our company as a whole. Our worldwide voluntary employee turnover rate in fiscal year 2026 was approximately 7.7%.</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Ambarella was founded and incorporated in the Cayman Islands in January 2004. Our registered address is PO Box 309GT, Ugland House, South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 Street, George Town, Grand Cayman, Cayman Islands. The address of our U.S. operating subsidiary is Ambarella Corporation, 3001 Tasman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Drive, Santa Clara, California. The Securities and Exchange Commission, or SEC, maintains a website at </w:t>
      </w:r>
      <w:r>
        <w:rPr>
          <w:rFonts w:ascii="Times New Roman" w:cs="Times New Roman" w:eastAsia="Times New Roman" w:hAnsi="Times New Roman"/>
          <w:sz w:val="18"/>
          <w:szCs w:val="18"/>
          <w:color w:val="0000FF"/>
        </w:rPr>
        <w:t>www.sec.gov</w:t>
      </w:r>
      <w:r>
        <w:rPr>
          <w:rFonts w:ascii="Times New Roman" w:cs="Times New Roman" w:eastAsia="Times New Roman" w:hAnsi="Times New Roman"/>
          <w:sz w:val="18"/>
          <w:szCs w:val="18"/>
          <w:color w:val="auto"/>
        </w:rPr>
        <w:t xml:space="preserve"> that contains reports, proxy,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statements, and other information regarding registrants that file electronically. You may also obtain copies of our Forms 10-K, 10-Q, 8-K,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filings with the SEC, and all amendments to these filings, free of charge, by visiting the Investor Relations page on our website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http://investor.ambarella.com</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as soon as reasonably practicable following our filing of any of these reports with the SEC. Information on our website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incorporated into this Annual Report on Form 10-K or our other securities filings and is not a part of such filings.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54" w:lineRule="exact"/>
        <w:rPr>
          <w:sz w:val="20"/>
          <w:szCs w:val="20"/>
          <w:color w:val="auto"/>
        </w:rPr>
      </w:pPr>
    </w:p>
    <w:p>
      <w:pPr>
        <w:ind w:left="1020" w:right="1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and political conditions, including high inflation, recessionary concerns, trade restrictions, geopolitical tensions and war may adversely impact our business and financial condition in ways that we currently cannot predict.</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if we fail to successfully penetrate new markets, our revenue and financial condition could be harmed.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global supply chain challenges could adversely affect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9" w:name="page20"/>
    <w:bookmarkEnd w:id="19"/>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adversely impact our gross margins and lead to reduced revenues.</w:t>
      </w:r>
    </w:p>
    <w:p>
      <w:pPr>
        <w:spacing w:after="0" w:line="11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develop and introduce new or enhanced solutions that meet market requirements on a timely basis, our ability to attract and retain customers could be impaired and our competitive position could be harmed.</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53" w:lineRule="exact"/>
        <w:rPr>
          <w:rFonts w:ascii="Times New Roman" w:cs="Times New Roman" w:eastAsia="Times New Roman" w:hAnsi="Times New Roman"/>
          <w:sz w:val="18"/>
          <w:szCs w:val="18"/>
          <w:color w:val="auto"/>
        </w:rPr>
      </w:pPr>
    </w:p>
    <w:p>
      <w:pPr>
        <w:ind w:left="503" w:right="76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inventory warehouse is located in Hong Kong and may be affected by continued political, social, health and economic conditions in Hong Kong.</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3" w:lineRule="exact"/>
        <w:rPr>
          <w:rFonts w:ascii="Times New Roman" w:cs="Times New Roman" w:eastAsia="Times New Roman" w:hAnsi="Times New Roman"/>
          <w:sz w:val="18"/>
          <w:szCs w:val="18"/>
          <w:color w:val="auto"/>
        </w:rPr>
      </w:pPr>
    </w:p>
    <w:p>
      <w:pPr>
        <w:ind w:left="503" w:right="40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expect competition to increase in the future, which could have an adverse effect on our market share, revenue and results of operations.</w:t>
      </w:r>
    </w:p>
    <w:p>
      <w:pPr>
        <w:spacing w:after="0" w:line="53"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or other security breaches or incidents with respect to our products, networks or systems, may have a material adverse effect on our business.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which could harm our business.</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any future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17"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rFonts w:ascii="Times New Roman" w:cs="Times New Roman" w:eastAsia="Times New Roman" w:hAnsi="Times New Roman"/>
          <w:sz w:val="18"/>
          <w:szCs w:val="18"/>
          <w:color w:val="auto"/>
        </w:rPr>
      </w:pPr>
    </w:p>
    <w:p>
      <w:pPr>
        <w:ind w:left="503" w:right="6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industry standards could make our video and image processing solutions obsolete, which would cause our operating results to suffer.</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tax risks, including relating to the complexity of calculating our tax provision, changes in effective tax rates, or unfavorable tax law changes.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20" w:name="page21"/>
    <w:bookmarkEnd w:id="20"/>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117" w:lineRule="exact"/>
        <w:rPr>
          <w:rFonts w:ascii="Times New Roman" w:cs="Times New Roman" w:eastAsia="Times New Roman" w:hAnsi="Times New Roman"/>
          <w:sz w:val="18"/>
          <w:szCs w:val="18"/>
          <w:color w:val="auto"/>
        </w:rPr>
      </w:pPr>
    </w:p>
    <w:p>
      <w:pPr>
        <w:jc w:val="both"/>
        <w:ind w:left="1020" w:right="50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 including China. In addition, our ability to sell certain products to certain China customers has been restricted.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laws and regulatory compliance requirements, including Section 404 of the Sarbanes-Oxley Act of 2002, which are costly to comply with, and our failure to comply with these requirements could harm our business and operating results.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climate change-related policies and regulations may have a long-term impact on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macroeconomic and political conditions, including high inflation, recessionary concerns, trade restrictions, geopolitical tensions and war, may adversely impact our business and financial condition in ways that we currently cannot predict.</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global company and our business, results of operations, and financial condition are impacted by global macroeconomic conditions. Macroeconomic events such as recession, high inflation, geopolitical tensions, war, public health crises, supply chain disruptions, rising energy costs, changes to U.S. trade policies and responses by foreign governments to such policies, and global banking concerns have caused economic volatility, which have in the past, and may continue to, harm our business. Economic volatility and adverse economic conditions have affected and may continue to affect the demand for our products and our customers’ products. Reduced demand for our customers’ products may negatively affect demand for our products and lead to a buildup of inventory at many of our customers, including their affiliates, partners, and contract manufacturers. Reduced demand for our products could result in decreases in our sales and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sell our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79"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if we fail to successfully penetrate new markets, our revenue and financial condition could be harmed.</w:t>
      </w:r>
    </w:p>
    <w:p>
      <w:pPr>
        <w:spacing w:after="0" w:line="159"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We believe that our future revenue growth, if any, significantly depends on our ability to expand within the Internet of Things, or IoT, and automotive markets with our new artificial intelligence, or AI, SoC solutions, and penetrate, or further penetrate, the robotics and industrial markets. Each of these markets presents distinct and substantial risks and, in many cases, requires us to develop new functionality or software to address the particular requirements of that market. The application of AI functionality in these markets is relatively new, and we may be unable to predict the timing or development of these markets with accuracy. If any of these markets do not develop as we currently anticipate, the technical requirements of these markets evolve in ways we do not anticipate, the development of such markets is delayed or impacted by factors outside of our control, or if we are unable to penetrate, or further penetrate, them successfully with our solutions, our revenue could decline and our financial condition would be negatively impacted.</w:t>
      </w:r>
    </w:p>
    <w:p>
      <w:pPr>
        <w:spacing w:after="0" w:line="17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Some of these markets are primarily served by only a few large, multinational OEMs with substantial negotiating power relative to us and, in some instances, with internal solutions that are competitive to our products. Meeting the technical requirements and securing design wins in these markets requires a substantial investment of our time and resources and we cannot assure you that we will secure design wins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Impacts of the global supply chain challenges could adversely affect our business,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2" w:name="page23"/>
    <w:bookmarkEnd w:id="22"/>
    <w:p>
      <w:pPr>
        <w:ind w:firstLine="509"/>
        <w:spacing w:after="0" w:line="254" w:lineRule="auto"/>
        <w:rPr>
          <w:sz w:val="20"/>
          <w:szCs w:val="20"/>
          <w:color w:val="auto"/>
        </w:rPr>
      </w:pPr>
      <w:r>
        <w:rPr>
          <w:rFonts w:ascii="Times New Roman" w:cs="Times New Roman" w:eastAsia="Times New Roman" w:hAnsi="Times New Roman"/>
          <w:sz w:val="18"/>
          <w:szCs w:val="18"/>
          <w:color w:val="auto"/>
        </w:rPr>
        <w:t>Managing our manufacturing capacity and supply chain is complex. Our ability to manage our supply chain has been, and could continue to be, adversely affected by a variety of factors including geopolitical conditions such as international trade tensions between the U.S. and China, military conflicts, natural disasters, health crises, and other factors beyond our control. Disruptions in the supply chain for materials used to produce semiconductors or significant increase in demand for semiconductors has, and may in the future, result in a lengthening of the manufacturing lead time for our products and impact the normal forecasting and ordering patterns of our customers. For example, we have experienced supply constraints for certain chips from Samsung Electronics Corporation (Samsung) and we may experience similar issues in the future, which could increase our manufacturing costs and reduce the gross margin of our products. To the extent our customers face supply chain issues with respect to other components needed to pair with our products, such as memory components, in order to produce their end products, such customers may delay orders of our products or hold inventory of our products for longer periods of time, which could result in a decline in our revenue, a decline in gross margin or other adverse impact on our business.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Our suppliers may pass increases in the price of engineered materials, raw materials and commodity costs onto us, which would reduce the gross margin of our products. The semiconductor industry recently experienced significant shortages of manufacturing capacity, which resulted in a lengthening of the manufacturing lead time for our products and which has at times harmed our revenue. While this capacity shortage has improved, we may experience capacity restraints again in the future.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us and our customers having excess inventory.</w:t>
      </w:r>
    </w:p>
    <w:p>
      <w:pPr>
        <w:spacing w:after="0" w:line="184"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88"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develop and introduce new or enhanced solutions that meet market requirements on a timely basis, our ability to attract and retain customers could be impaired and our competitive position could be harmed.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including AI functionality, and that meet the technical and cost expectations of our customers. Our existing or future solutions could be rendered obsolete by the introduction of new products by our competitors, convergence of other markets with or into the video perception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Our failure to anticipate or timely develop new or enhanced solutions in response to technological shifts could result in decreased revenue and our competitors achieving design wins that we sought. As we develop and introduce new solutions, we also face the risk that customers may not value or be willing to bear the cost of incorporating these newer solutions into their products, particularly if they believe their customers are satisfied with current solutions. If we or our customers are unable to manage product transitions in a timely and cost-effective manner, our business and results of operations would suffer.</w:t>
      </w:r>
    </w:p>
    <w:p>
      <w:pPr>
        <w:spacing w:after="0" w:line="19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for some markets we address or seek to address we need to establish and maintain relationships with third-party suppliers or software providers in order to effectively market our solutions to end-customers. Failure to establish these relationships could harm our ability to achieve design wins.</w:t>
      </w:r>
    </w:p>
    <w:p>
      <w:pPr>
        <w:spacing w:after="0" w:line="172"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3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Most of our SoCs, including all of our recently introduced SoCs,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multi-modal vision-language models (VLMs), large language models (LLMs), vision-action models (VLAs) and reasoning models in edge devices. AI technologies are complex and rapidly evolving.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spacing w:after="0" w:line="19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financial harm or legal liability.</w:t>
      </w:r>
    </w:p>
    <w:p>
      <w:pPr>
        <w:spacing w:after="0" w:line="176"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our logistic partners. Hong Kong has experienced, and continues to experience, political unrest and social strife. The Bureau of Industry and Security, or BIS, of the U.S. Department of Commerce, or Commerce, imposes on Hong Kong the same stringent export and reexport controls applicable to China, including licensing requirements such as those applicable to SoCs and semiconductor end-uses.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8"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4" w:name="page25"/>
    <w:bookmarkEnd w:id="24"/>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customers may seek to cancel, change or delay their product purchase commitments with little or no notice to us. Because production lead times often exceed the amount of time required by our customers to fill their orders, we often must build SoCs in advance of receiving orders from customers, relying on an imperfect demand forecast to project volumes and product mix. As a result, from time to time, we may see an increase in our inventory levels.</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seek to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2026, the customer representing 10% or more of our revenue was WT Microelectronics Co., Ltd., or WT, which serves as our non-exclusive sales representative and fulfillment partner in Asia other than Japan, accounted for approximately 70% of total revenue. We believe that revenue from our top 10 end customers, either directly or through a distributor or an ODM, accounted for approximately 67% of our total revenue in fiscal year 2026. Our largest end customer in fiscal year 2026 was Arashi Vision Inc. dba Insta360, or Arashi, for which we indirectly supply SoCs through WT to multiple ODMs that build products on behalf of Arashi.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The loss of a significant customer, or substantial reduction in purchases by a significant customer, could happen again at any time and without notice, and such loss would likely lead to unanticipated revenue shortfalls and excess inventory and otherwise harm our financial condition and results of operations. Moreover, because several of our largest OEM customers have a dominant position in their markets, a loss of a significant customer may not be easily replaced.</w:t>
      </w:r>
    </w:p>
    <w:p>
      <w:pPr>
        <w:spacing w:after="0" w:line="186"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5" w:name="page26"/>
    <w:bookmarkEnd w:id="25"/>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12 to 18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third-party contractors’ manufacturing or assembly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0"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expect competition to increase in the future, which could have an adverse effect on our market share, revenue and profitability.</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Once an OEM designs a competitor’s device into its product, it becomes significantly more difficult for us to sell our SoC solutions to that OEM because changing suppliers involves significant cost, time, effort and risk for the OEM. Increased competition could result in price pressure, reduced profitability and loss of market share, any of which could harm our business, revenue and operating results.</w:t>
      </w:r>
    </w:p>
    <w:p>
      <w:pPr>
        <w:spacing w:after="0" w:line="19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HiSilicon Technologies Co., Ltd., or HiSilicon, which is owned by Huawei Technologies Co., Novatek Microelectronics Corp., or Novatek, NVIDIA Corporation, or NVIDIA, Qualcomm Incorporated, or Qualcomm, and SigmaStar Technology Corp. In the automotive camera market, we compete against Horizon Robotics Inc., Mobileye, a subsidiary of Intel Corporation, Novatek, NVIDIA,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29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6" w:name="page27"/>
    <w:bookmarkEnd w:id="26"/>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or other security breaches or incidents with respect to our products, networks or systems, may have a material adverse effect on our business.</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confidential information and that of our customers, suppliers and employees. Accidental or willful security breaches or incidents or other unauthorized access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Our efforts to eliminate or alleviate cyber or other security problems, bugs, viruses, ransomware and other malicious software programs and security vulnerabilities could impose significant costs, may not be successful, and could result in interruptions and delays that may impede critical functions.</w:t>
      </w:r>
    </w:p>
    <w:p>
      <w:pPr>
        <w:spacing w:after="0" w:line="18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difficult to defend against or implement preventive measures, and we may face difficulties or delays in identifying and otherwise responding to any security breach or incident. Moreover, remote work by our personnel and remote access to our systems increase our cybersecurity risk profile. We expect to incur significant costs in an effort to detect and prevent security breaches and incidents, and any actual or perceived security breach or incident may require us to incur significant costs in notifying relevant persons and entities and may otherwise increase our costs and require us to expend substantial resources. Our policies and security measures cannot guarantee security, and our information technology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Hackers or others may be able to penetrate our security controls, misappropriate or compromise our confidential information or that of third parties, deploy viruses, worms, ransomware or other malicious code, or cause damage or disruptions to our IT infrastructure. For portions of our IT infrastructure, we rely on offerings provided by third parties. These third-party offerings relate to, among other things, human resources, electronic communication services and some finance functions, and we are dependent on these third parties' security systems. These third parties are subject to similar, and in certain cases greater, security threats than we face. These third parties may also experience breaches, incidents, and attacks compromising or otherwise impacting their offerings, and their offerings may contain security vulnerabilities or malicious code, or otherwise detrimentally impact our systems. Any unauthorized access to, or other security breaches or incidents impacting, the systems of our service providers, or any computer viruses, ransomware or other malicious code in their data or software, could expose us to risks of unauthorized access to our IT infrastructure and loss, misappropriation, unavailability and other unauthorized processing of information. Security breaches and incidents may also result from non-technical means, such as employee or contractor malfeasance or negligence. Any security breach or incident or theft, misuse, loss, unavailability or other unauthorized processing of information, or the perception that any of these matters has occurred, could result in, among other things, damage to our reputation, allegations by our customers that we have not performed our contractual obligations, regulatory investigations and other proceedings, litigation and possible 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7" w:name="page28"/>
    <w:bookmarkEnd w:id="27"/>
    <w:p>
      <w:pPr>
        <w:ind w:right="60"/>
        <w:spacing w:after="0" w:line="266" w:lineRule="auto"/>
        <w:rPr>
          <w:sz w:val="20"/>
          <w:szCs w:val="20"/>
          <w:color w:val="auto"/>
        </w:rPr>
      </w:pPr>
      <w:r>
        <w:rPr>
          <w:rFonts w:ascii="Times New Roman" w:cs="Times New Roman" w:eastAsia="Times New Roman" w:hAnsi="Times New Roman"/>
          <w:sz w:val="18"/>
          <w:szCs w:val="18"/>
          <w:color w:val="auto"/>
        </w:rPr>
        <w:t>accurately process or record transactions, and security or technical reliability issues. All of these could harm our ability to conduct core operating functions and could impact our internal control compliance efforts. Due to conflicts and geopolitical events, we and many third parties we work with are vulnerable to a heightened risk of cybersecurity attacks, and other means of causing security breaches and incidents from nation-state and affiliated actors.</w:t>
      </w:r>
    </w:p>
    <w:p>
      <w:pPr>
        <w:spacing w:after="0" w:line="176"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4"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approximately $238.5 million, $226.1 million and $215.1 million in fiscal years 2026, 2025 and 2024, respectively. In general, we expect to increase our research and development expenditures in future periods as compared to prior periods as part of our strategy of focusing on the development of innovative AI inference SoCs with increasing levels of functionality. We are unable to predict whether we will have sufficient resources to achieve the level of investment in research and development required to remain competitive. For example, development in the latest process nodes, such as 4 nanometer, or nm, or smaller, costs significantly more than required to develop in larger process nodes. This added cost could prevent us from being able to achieve or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 In addition, the U.S. government recently introduced regulations that require notification of, or prohibit certain transactions with entities in China or with linkages to China, which could apply to certain intracompany activities between a U.S. based corporation and its China subsidiaries that support research and development activities, which could limit our ability to carry out certain research and development activities in China.</w:t>
      </w:r>
    </w:p>
    <w:p>
      <w:pPr>
        <w:spacing w:after="0" w:line="186"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 which could harm our business.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our performance depends in large part on the talents and efforts of our senior management and other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AI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senior executives and employees. Our continued ability to compete effectively, and to grow our business, depends on our ability to attract new employees and to retain and motivate our existing senior executives and employees.</w:t>
      </w:r>
    </w:p>
    <w:p>
      <w:pPr>
        <w:spacing w:after="0" w:line="184"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inference AI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to attract new customers or retain existing customers, new product introductions by us or our competitors and other factors. We expect that we will have to address pricing pressures again in the future, particularly in markets experiencing consolidation or with respect to our larger end customers, which could require us to reduce the prices of our SoC solutions and harm our operating results.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business has, at times,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industrial, robotics and intelligent transportation systems.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future revenues and collection of accounts receivable. For the fiscal year ended January 31, 2026, the customer representing 10% or more of revenue was WT, which accounted for approximately 70% of total revenue. As of January 31, 2026, accounts receivable with WT was approximately $24.6 million.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and cash flows would be negatively impacted.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There are indications that the semiconductor industry may be facing shortages of capacity for certain components used by our customers and certain semiconductor assembly processes, which could have an adverse impact on demand for our products, increase our expenses, impact customer relationships and otherwise negatively impact our results of operations. Challenges may recur in future periods with changes in the macro-economic environment, including imposition of higher or additional tariffs by the U.S. Government on imports and new or additional restrictions on exports to foreign locations.</w:t>
      </w:r>
    </w:p>
    <w:p>
      <w:pPr>
        <w:spacing w:after="0" w:line="193" w:lineRule="exact"/>
        <w:rPr>
          <w:sz w:val="20"/>
          <w:szCs w:val="20"/>
          <w:color w:val="auto"/>
        </w:rPr>
      </w:pPr>
    </w:p>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9" w:name="page30"/>
    <w:bookmarkEnd w:id="29"/>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may face difficulties, delays and increased expense as we transition our products to new processes, such as the 2 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 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design our solutions to conform to a broad range of technology standards set by industry standards setting bodies, including video compression standards such as MPEG-2, H.264 Advanced Video Coding (AVC) and H.265 High Efficiency Video Coding (HEVC). In addition, new or revised industry standards relating to AI technologies may impose additional requirements. Generally, our solutions comprise only a part of a customer’s device. All components of these devices must uniformly comply with industry standards in order to operate efficiently together.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w:t>
      </w:r>
    </w:p>
    <w:p>
      <w:pPr>
        <w:spacing w:after="0" w:line="184"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29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 from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conflicts in Ukraine and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and/or additional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0" w:name="page31"/>
    <w:bookmarkEnd w:id="30"/>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329"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tax risks, including relating to the complexity of calculating our tax provision, changes in statutory tax rates, or unfavorable tax law changes.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future pandemics or disease outbreaks,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1" w:name="page32"/>
    <w:bookmarkEnd w:id="31"/>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w:t>
      </w:r>
    </w:p>
    <w:p>
      <w:pPr>
        <w:spacing w:after="0" w:line="188"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and we anticipate that this will continue. Sales to customers in Asia accounted for approximately 88%, 85% and 79% of our total revenue in fiscal years 2026, 2025 and 2024, respectively.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2" w:name="page33"/>
    <w:bookmarkEnd w:id="32"/>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January 31, 2026, we had approximately $121.6 million invested in marketable debt securities. The marketable debt security investments primarily consisted of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the U.S. debt ceiling crisis, and imposition of tariffs, which affected various sectors of the financial markets and led to global credit and liquidity issues. We regularly maintain cash balances that are not insured or are in excess of the Federal Deposit Insurance Corporation’s (FDIC)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3" w:name="page34"/>
    <w:bookmarkEnd w:id="33"/>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adverse manufacturing cost variances or supply chain disruptions,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We have experienced and may again experience in the future supply constraints at our primary foundry and assembly vendors resulting from industry wide supply chain challenges.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4 nm or 2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We do not seek to maintain sufficient inventory to address a lengthy transition period because we believe it is uneconomical. As a result, we may not be able to meet customer needs during such a transition, which could result in a decline in our sales, negatively impact our financial results and damage our customer relationships.</w:t>
      </w:r>
    </w:p>
    <w:p>
      <w:pPr>
        <w:spacing w:after="0" w:line="179"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4" w:name="page35"/>
    <w:bookmarkEnd w:id="34"/>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and fulfillment partner in Asia other than Japan. Approximately 70%, 63% and 53% of our revenue was derived from sales through WT for the fiscal years ended January 31, 2026, 2025 and 2024. We anticipate that a significant portion of our revenue will continue to be derived from sales through WT in the foreseeable future. Our current agreement with WT is effective until January 2029,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and intellectual property to us for the development of our new products, and we may be unable to obtain the tools necessary to develop or enhance new or existing products.</w:t>
      </w:r>
    </w:p>
    <w:p>
      <w:pPr>
        <w:spacing w:after="0" w:line="15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We also rely upon third-party intellectual property to enable certain advanced features in our products. In the future, the design requirements necessary to meet consumer demands for more features and greater functionality from our solutions may exceed the capabilities of available intellectual property and software development tools. Unavailability of software development tools or intellectual property may result in our missing design cycles or losing design wins, either of which could result in a loss of market share or negatively impact our operating results.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5" w:name="page36"/>
    <w:bookmarkEnd w:id="35"/>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We have had disruptions in the past due to natural disasters disrupting the operations of our suppliers and this could happen again.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political conditions, including trade relations and regulations, may have an impact on our business and financial condition in ways that we currently cannot predict.</w:t>
      </w:r>
    </w:p>
    <w:p>
      <w:pPr>
        <w:spacing w:after="0" w:line="15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have been escalating, which has, in our view, created and will perpetuate an uncertain business environment. Tariffs on Chinese-origin products increased and may do so further. The specific duty rates have fluctuated, with the United States imposing, revoking, and postponing various tariffs. Similarly, China has taken measures in response, including increased tariffs on U.S. products and the imposition of new export controls on rare earth metals, critical minerals, and other items. Though certain items have been exempted from some of these recent U.S. tariff actions, including computers, semiconductors and other consumer electronics, the risk of additional U.S. tariffs has materially increased in light of recent comments and new Section 232 investigations opened by the U.S. presidential administration.</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Additionally, in 2022,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These controls have continued to expand. While our current products are not restricted by these controls, such controls could impact our ability to export products to China in the future. It also is possible that the Chinese government will retaliate in ways that could impact our business. End-user and end-use restrictions continue to evolve and may change what we can provide to certain entities both in China and other countries.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6" w:name="page37"/>
    <w:bookmarkEnd w:id="36"/>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to negative impacts from existing tariffs and trade restrictions,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U.S. government recently introduced regulations that require notification of or prohibit certain transactions by the Company with entities in China or with linkages to China. These regulations could apply to certain intracompany activities with our China subsidiary or other activities with entities in China or with linkages to China. These regulations could also limit the ability of others to transact certain business with the Company if those transactions involve or benefit, directly or indirectly our operations in China.</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Changes in U.S. trade policy could trigger retaliatory actions by Russia, its allies and other affected countries, including China, resulting in a trade war.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or if other countries, including the U.S., become further involved in the conflict, we could face significant adverse effects to our business and financial condition.</w:t>
      </w:r>
    </w:p>
    <w:p>
      <w:pPr>
        <w:spacing w:after="0" w:line="183"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business operations in Taiwan, including 372 employees as of January 31, 2026,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85"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Several of our Chinese customers have been added to the BIS Entity List, which imposes limitations on the supply of U.S. controlled items to the listed entities. These customers have, and may continue to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right="9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data processing, privacy, data protection and cybersecurity.</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legislative and regulatory framework for data processing, privacy, data protection and cybersecurity issues worldwide is rapidly evolving and is likely to remain uncertain for the foreseeable future. We collect, maintain, transfer and otherwise process personal information and other data as part of our business processes and activities. These actions are subject to a variety of U.S. and international laws and regulations, and oversight by various regulatory or other governmental bodies. Many foreign countries and governmental bodies, including China, the European Union and other relevant jurisdictions where we conduct business, have laws and regulations concerning these matters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The CCPA was modified by the California Privacy Rights Act of 2020, which became effective on January 1, 2023. Numerous other U.S. states have proposed, and in certain cases enacted privacy laws, many of which are similar to the CCPA. The U.S. Department of Justice has also issued regulations regarding certain bulk sensitive personal data transfers.</w:t>
      </w:r>
    </w:p>
    <w:p>
      <w:pPr>
        <w:spacing w:after="0" w:line="19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and provides for substantial fines and other remedies. The Data Security Law contains provisions that allow substantial government oversight and includes fines for failure to obtain required approval from China’s cyber and data protection regulators for cross-border personal information-related data transfers.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8" w:name="page39"/>
    <w:bookmarkEnd w:id="38"/>
    <w:p>
      <w:pPr>
        <w:ind w:firstLine="509"/>
        <w:spacing w:after="0" w:line="254" w:lineRule="auto"/>
        <w:rPr>
          <w:sz w:val="20"/>
          <w:szCs w:val="20"/>
          <w:color w:val="auto"/>
        </w:rPr>
      </w:pPr>
      <w:r>
        <w:rPr>
          <w:rFonts w:ascii="Times New Roman" w:cs="Times New Roman" w:eastAsia="Times New Roman" w:hAnsi="Times New Roman"/>
          <w:sz w:val="18"/>
          <w:szCs w:val="18"/>
          <w:color w:val="auto"/>
        </w:rPr>
        <w:t>Aspects of laws and regulations relating to data processing, privacy, data protection and cybersecurity, and their interpretation and enforcement, remain unclear, and these laws and regulations, as well as relevant industry standards or other actual or asserted obligations, may be interpreted or applied in a manner that is inconsistent with our practices or the features of our products or solutions. We may find it necessary to modify our products, solutions or practices and to incur substantial costs and expenses in an effort to comply. Further, in the event of any actual or alleged failure to comply with such laws, regulations, industry standards or other actual or asserted obligations,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data processing, privacy, data protection or cybersecurity concerns, or to comply with applicable laws, regulations, industry standards, or other actual or asserted obligations relating to these matters, even if unfounded, could result in additional cost and liability to us, inhibit sales, damage our reputation and adversely affect our business.</w:t>
      </w:r>
    </w:p>
    <w:p>
      <w:pPr>
        <w:spacing w:after="0" w:line="184"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Anti-corruption and anti-bribery laws have been enforced aggressively in recent years and are interpreted broadly to generally prohibit companies, their employees, agents, representatives, distributors, business partners, and third-party intermediaries from authorizing, offering, or providing, directly or indirectly, improper payments or benefits to recipients in the public or private sector. In many foreign countries, particularly in countries with developing economies, it may be a local custom that businesses operating in such countries engage in business practices that are prohibited by the FCPA or other applicable laws and regulations.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Although we implemented an anti-corruption compliance program, we cannot assure you that none of our employees, agents, representatives, distributors, business partners or third-party intermediaries will take actions in violation of our policies and applicable law, for which we may be ultimately held responsible. Any allegations or violation of the FCPA or other applicable anti-corruption laws could result in whistleblower complaints, investigations, enforcement actions, severe criminal or civil sanctions, fines, adverse media coverage, and suspension or debarment from U.S. government contracting, all of which could have an adverse effect on our reputation, business, financial condition, operating results and cash flows. Responding to any investigation or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ind w:right="6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8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Failure to comply with these and similar laws and regulations could subject us to fines, penalties, civil or criminal sanctions, contract damage claims, and take-back of non-compliant products, which could harm our business, reputation and operating results. Similarly,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9" w:name="page40"/>
    <w:bookmarkEnd w:id="39"/>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or statutory tax rates or adverse outcomes resulting from examination of our tax returns could adversely affect our results.</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Changes in applicable laws could cause us to experience fluctuations in our tax obligations and effective tax rates and otherwise adversely affect our tax positions and/or our tax liabilities.</w:t>
      </w:r>
    </w:p>
    <w:p>
      <w:pPr>
        <w:spacing w:after="0" w:line="162"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For example, the Organization for Economic Co-operation and Development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One proposal is a framework that ensures an effective global minimum tax rate of 15% on certain multinationals that meet a consolidated revenues threshold of EUR 750 million or equivalent annually (Pillar Two). The Company believes that its consolidated revenues have not exceeded the relevant annual threshold.</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 the One Big Beautiful Bill Act (OBBBA) was enacted on July 4, 2025, and made a number of changes to existing tax law, including extending or making permanent certain business and international tax measures initially established under the Tax Cuts and Jobs Act of 2017 (TCJA), which were set to expire. The OBBBA requires complex computations to be performed that were initially introduced by the TCJA. The U.S. Treasury Department, the Internal Revenue Service (IRS), and other standard-setting bodies could interpret or issue guidance on how provisions of the OBBBA will be applied or otherwise administered that is different from our interpretation. We have considered the impact of the OBBBA in the current financial year. We are also in the process of evaluating the financial statement impact of these provisions for future periods. We do not currently expect the OBBBA to have a material impact on our consolidated financial statements. As we evaluate the effect of the OBBBA, collect and prepare necessary data, and interpret any additional guidance, we may adjust provisional amounts that we have recorded that may impact our provision for income taxes in the period in which the adjustments are made.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changes to global tax laws are likely to occur, and such changes may adversely affect our statutory tax rate, operating results, and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40" w:name="page41"/>
    <w:bookmarkEnd w:id="40"/>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For example, our income tax returns are subject to continuous examination by the Internal Revenue Service and other tax authorities. Any such audit, examination or review requires management’s time, diverts internal resources and, in the event of an unfavorable outcome, may result in additional tax liabilities or other adjustments to our historical results.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for any taxable year, either (a) at least 75% of our gross income is passive income or (b) at least 50% of the value of our assets (based on an average of the quarterly values of those assets during the taxable year) is attributable to assets that produce or are held for the production of passive income, in each case including a pro rata portion of the income and assets of each subsidiary in which we own, directly or indirectly, at least 25% by value of such subsidiary’s equity interests, we may be characterized as a passive foreign investment company, or PFIC, for U.S. federal income tax purposes. If we are treated as a PFIC for any taxable year during which a U.S. holder holds ordinary shares, certain adverse U.S. federal income tax consequences could apply for such U.S. holder.</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PFIC for our 2026 fiscal year. However, a separate determination must be made at the close of each taxable year as to whether we are a PFIC for that taxable year, and we cannot assure you that we will not be a PFIC for our 2027 fiscal year or any future taxable year.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1" w:name="page42"/>
    <w:bookmarkEnd w:id="41"/>
    <w:p>
      <w:pPr>
        <w:ind w:firstLine="509"/>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certain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ordinary shares has historically been highly volatile. The trading price of our ordinary shares is likely to remain volatile and could be subject to wide fluctuations in price in response to various factors, some of which are beyond our control. These factors include:</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failing to meet or exceed our guidance or investor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related to the banking industry or caused by pandemics, military conflicts, high inflation, and slow or negative market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a substantial number of our ordinary shares by us, our officers, or our significant stockholders as well as the perception that such sales or purchases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ordinary shares, short seller reports, and related media coverage;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or failure of securities analysts to maintain coverage of us.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43" w:name="page44"/>
    <w:bookmarkEnd w:id="43"/>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4" w:name="page45"/>
    <w:bookmarkEnd w:id="44"/>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pandemics, and regional health issues, earthquakes, natural disasters,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climate change-related policies and regulations may have a long-term impact on our business.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Global climate change is causing, and is projected to continue to cause, an increase in the frequency and intensity of certain natural disasters. Additionally, adverse weather, such as drought, wildfires, severe storms, sea-level rise, flooding, heat waves and cold waves, may occur more frequently and/or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 supplies through our supply chain, maintain, or resume operations or perform other critical corporate functions, and could reduce customer demand for our products, which would harm our business.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risks from cybersecurity threats, including an Incident Response Plan for cybersecurity and related processes that are overseen by our IT and management teams. Our cybersecurity program leverages industry frameworks, including certain of those established by the National Institute of Standards and Technology (NIST). Our information security management system is ISO 27001 certified.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5" w:name="page46"/>
    <w:bookmarkEnd w:id="45"/>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regularly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We conduct periodic risk assessments to identify cybersecurity threats, as well as assessments in the event of a material change in our business practices that may affect our information systems that are vulnerable to such cybersecurity threats. These risk assessments include identification of reasonably foreseeable internal risks associated with our employee and contractor usage of our information systems, as well as risks posed by external actors. The assessments also evaluate the likelihood and potential damage that could result from such risks, and the sufficiency of existing procedures, systems, and safeguards in place to manage such risks. Our cybersecurity risk management program is integrated into our overall risk management scheme by seeking to identify and mitigate those cybersecurity threats that are more likely to lead to a material impact on our business.</w:t>
      </w:r>
    </w:p>
    <w:p>
      <w:pPr>
        <w:spacing w:after="0" w:line="19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part of our overall risk management system, we provide periodic mandatory training for personnel regarding cybersecurity threats as means to equip our employees with information and tools to address cybersecurity threats, and to communicate our information security policies, processes and practices. We also perform periodic email phishing tests to evaluate and maintain cybersecurity awareness among our employees.</w:t>
      </w:r>
    </w:p>
    <w:p>
      <w:pPr>
        <w:spacing w:after="0" w:line="17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program also seeks to manage cybersecurity risks associated with our use of third-party service providers through risk assessments and contractual obligations on such service providers.</w:t>
      </w:r>
    </w:p>
    <w:p>
      <w:pPr>
        <w:spacing w:after="0" w:line="17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also engage consultants or other third parties in connection with our risk assessment processes. These service providers assist us in designing and implementing our cybersecurity policies and procedures, as well as in monitoring and testing our safeguards, including penetration testing of public facing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overall risk oversight function and has delegated to the Nominating and Corporate Governance Committee oversight of cybersecurity matters and other policies regarding information security risks. The Nominating and Corporate Governance Committee oversees management’s implementation of our cybersecurity risk management program.</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Board of Directors and the Nominating and Corporate Governance Committee receive presentations and reports on cybersecurity, which address a range of topics including recent developments, evolving standards, the threat environment, cybersecurity systems testing and vulnerability assessments, and the Company’s practices and policies to manage risks. Management reports to the Nominating and Corporate Governance Committee on cybersecurity matters and materials risks, if any, from cybersecurity threats. Our Nominating and Corporate Governance Committee provides updates to the Board of Directors on such reports. The Nominating and Corporate Governance Committee also receives notice of any significant cybersecurity incidents, as well as ongoing updates regarding any such incident until it has been addressed.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management team, including our IT management team, are responsible for day-to-day implementation, assessment, and management of our cybersecurity risk assessment and management processes. The IT management team has primary responsibility for our overall cybersecurity risk management program, including monitoring the prevention, detection, mitigation, and remediation of cybersecurity incidents, and works in partnership with our other business leaders, including our Chief Operating Officer, Chief Financial Officer and General Counsel. Our IT management team supervises both our internal cybersecurity personnel and any retained external cybersecurity consultants. Our Senior Director of IT has served in various roles in information technology and information security for over 25 years.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a team of business leaders, including, but not limited to, our Chief Operating Officer, Chief Financial Officer and General Counsel. This team of business leaders works with our incident response team to help determine the severity of the impact of a cybersecurity incident, as well as to help mitigate and remediate cybersecurity incidents of which they are notified.</w:t>
      </w:r>
    </w:p>
    <w:p>
      <w:pPr>
        <w:spacing w:after="0" w:line="19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on Form 10-K, we are not aware of any risks from cybersecurity threats, including as a result of any previous cybersecurity incidents, that have materially affected the Company, its business strategy, results of operations or financial condition. As cybersecurity threats become more sophisticated, it is reasonably likely that we will be required to expend greater resources to continue to modify and enhance our protective measures. For additional information concerning risks related to cybersecurity, see Item 1A of this report, “</w:t>
      </w:r>
      <w:r>
        <w:rPr>
          <w:rFonts w:ascii="Times New Roman" w:cs="Times New Roman" w:eastAsia="Times New Roman" w:hAnsi="Times New Roman"/>
          <w:sz w:val="18"/>
          <w:szCs w:val="18"/>
          <w:i w:val="1"/>
          <w:iCs w:val="1"/>
          <w:color w:val="auto"/>
        </w:rPr>
        <w:t>Risk Factors –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Our Industry – A breach of our security systems, or other security breaches or incidents with respect to our products, networks or systems, may have a material adverse effect on our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Santa Clara, California with approximately 58,000 square feet of building space. We also lease other facilities in Ohio and in various international locations, primarily in Taiwan, China, Italy and Hong Kong. Our facilities primarily consist of operating leases with lease periods expiring between fiscal years 2027 to 2035. We believe our existing facilities are well maintained and in good operating condition, and are sufficient for our needs for the foreseeable future. The following table lists major locations and primary usage of these facilities as of January 31,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26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Major Locations</w:t>
            </w: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Square</w:t>
            </w:r>
          </w:p>
        </w:tc>
        <w:tc>
          <w:tcPr>
            <w:tcW w:w="260" w:type="dxa"/>
            <w:vAlign w:val="bottom"/>
          </w:tcPr>
          <w:p>
            <w:pPr>
              <w:spacing w:after="0"/>
              <w:rPr>
                <w:sz w:val="12"/>
                <w:szCs w:val="12"/>
                <w:color w:val="auto"/>
              </w:rPr>
            </w:pPr>
          </w:p>
        </w:tc>
        <w:tc>
          <w:tcPr>
            <w:tcW w:w="7040" w:type="dxa"/>
            <w:vAlign w:val="bottom"/>
            <w:vMerge w:val="restart"/>
          </w:tcPr>
          <w:p>
            <w:pPr>
              <w:ind w:left="3320"/>
              <w:spacing w:after="0"/>
              <w:rPr>
                <w:sz w:val="20"/>
                <w:szCs w:val="20"/>
                <w:color w:val="auto"/>
              </w:rPr>
            </w:pPr>
            <w:r>
              <w:rPr>
                <w:rFonts w:ascii="Times New Roman" w:cs="Times New Roman" w:eastAsia="Times New Roman" w:hAnsi="Times New Roman"/>
                <w:sz w:val="14"/>
                <w:szCs w:val="14"/>
                <w:b w:val="1"/>
                <w:bCs w:val="1"/>
                <w:color w:val="auto"/>
              </w:rPr>
              <w:t>Usage</w:t>
            </w:r>
          </w:p>
        </w:tc>
        <w:tc>
          <w:tcPr>
            <w:tcW w:w="0" w:type="dxa"/>
            <w:vAlign w:val="bottom"/>
          </w:tcPr>
          <w:p>
            <w:pPr>
              <w:spacing w:after="0"/>
              <w:rPr>
                <w:sz w:val="1"/>
                <w:szCs w:val="1"/>
                <w:color w:val="auto"/>
              </w:rPr>
            </w:pPr>
          </w:p>
        </w:tc>
      </w:tr>
      <w:tr>
        <w:trPr>
          <w:trHeight w:val="173"/>
        </w:trPr>
        <w:tc>
          <w:tcPr>
            <w:tcW w:w="2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260" w:type="dxa"/>
            <w:vAlign w:val="bottom"/>
          </w:tcPr>
          <w:p>
            <w:pPr>
              <w:spacing w:after="0"/>
              <w:rPr>
                <w:sz w:val="15"/>
                <w:szCs w:val="15"/>
                <w:color w:val="auto"/>
              </w:rPr>
            </w:pPr>
          </w:p>
        </w:tc>
        <w:tc>
          <w:tcPr>
            <w:tcW w:w="7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Santa Clara, California</w:t>
            </w:r>
          </w:p>
        </w:tc>
        <w:tc>
          <w:tcPr>
            <w:tcW w:w="15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57,900</w:t>
            </w:r>
          </w:p>
        </w:tc>
        <w:tc>
          <w:tcPr>
            <w:tcW w:w="260" w:type="dxa"/>
            <w:vAlign w:val="bottom"/>
          </w:tcPr>
          <w:p>
            <w:pPr>
              <w:spacing w:after="0"/>
              <w:rPr>
                <w:sz w:val="17"/>
                <w:szCs w:val="17"/>
                <w:color w:val="auto"/>
              </w:rPr>
            </w:pPr>
          </w:p>
        </w:tc>
        <w:tc>
          <w:tcPr>
            <w:tcW w:w="7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Corporate Headquarters; Sales; Marketing; Research and Development; Finance;</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Administration</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Beavercreek, Ohio</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Hsinchu, Taiwan</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86,700</w:t>
            </w: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Business Development; Operations; Administration</w:t>
            </w: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Shanghai, China</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2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Business Development</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Shenzhen, China</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Business Development</w:t>
            </w: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Kowloon, Hong Kong</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Sales; Warehousing</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Shin-Yokohama, Japan</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w:t>
            </w:r>
          </w:p>
        </w:tc>
        <w:tc>
          <w:tcPr>
            <w:tcW w:w="0" w:type="dxa"/>
            <w:vAlign w:val="bottom"/>
          </w:tcPr>
          <w:p>
            <w:pPr>
              <w:spacing w:after="0"/>
              <w:rPr>
                <w:sz w:val="1"/>
                <w:szCs w:val="1"/>
                <w:color w:val="auto"/>
              </w:rPr>
            </w:pPr>
          </w:p>
        </w:tc>
      </w:tr>
      <w:tr>
        <w:trPr>
          <w:trHeight w:val="234"/>
        </w:trPr>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SeongNam, South Korea</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w:t>
            </w:r>
          </w:p>
        </w:tc>
        <w:tc>
          <w:tcPr>
            <w:tcW w:w="0" w:type="dxa"/>
            <w:vAlign w:val="bottom"/>
          </w:tcPr>
          <w:p>
            <w:pPr>
              <w:spacing w:after="0"/>
              <w:rPr>
                <w:sz w:val="1"/>
                <w:szCs w:val="1"/>
                <w:color w:val="auto"/>
              </w:rPr>
            </w:pPr>
          </w:p>
        </w:tc>
      </w:tr>
      <w:tr>
        <w:trPr>
          <w:trHeight w:val="41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Parma, Italy</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are not engaged in any material legal proceedings at this time. However, from time to time, we may be subject to commercial disputes, employment issues, intellectual property claims and litigation, in the ordinary course of our business. Refer to Note 15, Commitments and Contingencies within Notes to Consolidated Financial Statements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ordinary shares are traded on the Nasdaq Global Select Market under the symbol “AMBA”. On March 16, 2026, there were 24 shareholders of record holding our ordinary shares. We cannot estimate the number of beneficial owners since many brokers and other institutions hold our shares on behalf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Performance Graph</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to be “soliciting material” or “filed” or incorporated by reference in future filings with the Securities and Exchange Commission, or subject to the liabilities of Section 18 of the Securities Exchange Act of 1934, as amended, or the Exchange Act, except as shall be expressly set forth by specific reference in such filing.</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from February 1, 2021 through January 31, 2026 of the cumulative total return for our ordinary shares, the Nasdaq Composite Index and the Philadelphia Semiconductor Index. The comparisons in the graph are historical and are not intended to forecast or be indicative of possible future performance of our ordinary shares.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Comparison of 5-year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2897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28, 2025, our Board of Directors approved an extension of the existing share repurchase program for an additional twelve months through June 30, 2026. As of January 31, 2026, we had approximately $48.0 million available to repurchase shares under the program through June 30, 2026. The repurchase program does not obligate us to acquire any particular amount of ordinary shares, and it may be suspended at any time at our discretion. Shares may be repurchased through open market purchases, 10b5-1 plans or privately negotiated transactions. Repurchases are funded using our working capital and any repurchased shares are recorded as authorized but unissued shares. There were no shares repurchased during the fourth fiscal quarter covered by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6"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50" w:name="page51"/>
    <w:bookmarkEnd w:id="50"/>
    <w:p>
      <w:pPr>
        <w:ind w:right="1160"/>
        <w:spacing w:after="0" w:line="377"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 leading developer of low power system on a chip (SoC) semiconductors and software that enable advanced edge and physical AI applications. Our solutions combine state of the art video processing, high resolution image capture, and our proprietary CVflow® AI acceleration architecture to deliver high performance at extremely low power. Historically, our technologies supported human viewing applications such as enterprise, public infrastructure, and home security cameras, as well as sports cameras, wearables, aerial drones, and aftermarket automotive recorders. Building on this foundation, our recent product generations incorporate advanced AI inference capabilities that allow edge devices to interpret complex scenes, perform multi modal sensor fusion, and support autonomous decision making.</w:t>
      </w:r>
    </w:p>
    <w:p>
      <w:pPr>
        <w:spacing w:after="0" w:line="7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latest SoC families integrate third generation CVflow technology with advanced video processing, image signal processing, audio processing, and system control functions on a single chip. CVflow is optimized for a broad range of AI inference workloads, including object detection, classification, tracking, segmentation, stereo depth processing, radar perception, and transformer based models. This architecture supports multi modal sensor inputs, including camera, lidar, 4D radar, thermal, and near infrared, enabling environmental perception for edge devices. These capabilities allow our customers to deploy differentiated AI models and solutions across applications, such as next generation automotive camera systems, video security, robotics, and consumer devices, while achieving high image quality, low latency, and low power consumption.</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development roadmap is focused on human viewing, AI inference, and radar based perception technologies that support the increasing automation and intelligence requirements of the Internet of Things (IoT), automotive, industrial, and robotics markets. As a result, we believe that our future revenue growth, if any, will significantly depend upon our ability to expand within camera markets with our AI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capabilities, and as we target new markets.</w:t>
      </w:r>
    </w:p>
    <w:p>
      <w:pPr>
        <w:spacing w:after="0" w:line="8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12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12 to 24 months. We anticipate that product life cycles will typically be longer than 24 months in the OEM automotive and industrial and robotics markets, as new product introductions occur less frequently in these markets.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2026 Financial Highlights</w:t>
      </w:r>
    </w:p>
    <w:p>
      <w:pPr>
        <w:spacing w:after="0" w:line="121" w:lineRule="exact"/>
        <w:rPr>
          <w:sz w:val="20"/>
          <w:szCs w:val="20"/>
          <w:color w:val="auto"/>
        </w:rPr>
      </w:pPr>
    </w:p>
    <w:p>
      <w:pPr>
        <w:ind w:left="1020" w:right="18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$390.7 million in fiscal year 2026, an increase of 37.2% as compared to fiscal year 2025. The increase in revenue was primarily attributable to higher product unit shipments and an increased percentage of sales from higher average selling price AI inference processors as a result of high demand for our edge AI solutions, partially offset by lower nonrecurring engineering (NRE) project service revenue.</w:t>
      </w:r>
    </w:p>
    <w:p>
      <w:pPr>
        <w:spacing w:after="0" w:line="71"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loss from operations of $82.5 million in fiscal year 2026, as compared to a loss from operations of $126.6 million in fiscal year 2025. The reduction in operating losses was primarily attributable to higher revenue and consequently, higher gross profit, partially offset by an increase in operating expenses. The increased operating expenses primarily related to higher personnel costs, including employee benefits, higher engineering-related costs associated with the progress and number of chips in development, higher facility-related costs from relocation of our headquarters in fiscal year 2026, as well as higher marketing and travel expenses.</w:t>
      </w:r>
    </w:p>
    <w:p>
      <w:pPr>
        <w:spacing w:after="0" w:line="75"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$73.5 million of cash from operating activities in fiscal year 2026, as compared to $33.8 million in fiscal year 2025. The increase in cash flows from operating activities was mainly driven by improved operating results and higher cash inflows from changes in working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Ability to Capitalize on AI and Computer Vision Trends. </w:t>
      </w:r>
      <w:r>
        <w:rPr>
          <w:rFonts w:ascii="Times New Roman" w:cs="Times New Roman" w:eastAsia="Times New Roman" w:hAnsi="Times New Roman"/>
          <w:sz w:val="18"/>
          <w:szCs w:val="18"/>
          <w:color w:val="auto"/>
        </w:rPr>
        <w:t>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and computer vision technologies,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7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Ability to Develop and Introduce New or Enhanced Solutions. </w:t>
      </w:r>
      <w:r>
        <w:rPr>
          <w:rFonts w:ascii="Times New Roman" w:cs="Times New Roman" w:eastAsia="Times New Roman" w:hAnsi="Times New Roman"/>
          <w:sz w:val="18"/>
          <w:szCs w:val="18"/>
          <w:color w:val="auto"/>
        </w:rPr>
        <w:t>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including advanced process technologies.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In addition, our ability to successfully develop new and enhanced solutions depends on our continuing ability to hire, train, motivate and retain highly skilled engineers, which is not ensured. Moreover, any reliability or quality problems with our solutions could harm our reputation, increase additional development and replacement costs, and prevent us from retaining existing customers and attracting new customers.</w:t>
      </w:r>
    </w:p>
    <w:p>
      <w:pPr>
        <w:spacing w:after="0" w:line="77"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Pricing, Product Cost and Margin. </w:t>
      </w:r>
      <w:r>
        <w:rPr>
          <w:rFonts w:ascii="Times New Roman" w:cs="Times New Roman" w:eastAsia="Times New Roman" w:hAnsi="Times New Roman"/>
          <w:sz w:val="18"/>
          <w:szCs w:val="18"/>
          <w:color w:val="auto"/>
        </w:rPr>
        <w:t>Our pricing and margins depend on a variety of factors, including the volumes and features of the solutions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to our customers. 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the launch of new products by us or our competitors and by product mix.</w:t>
      </w:r>
    </w:p>
    <w:p>
      <w:pPr>
        <w:spacing w:after="0" w:line="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2" w:name="page53"/>
    <w:bookmarkEnd w:id="52"/>
    <w:p>
      <w:pPr>
        <w:ind w:right="10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Continued Concentration of Revenue by End Markets. </w:t>
      </w:r>
      <w:r>
        <w:rPr>
          <w:rFonts w:ascii="Times New Roman" w:cs="Times New Roman" w:eastAsia="Times New Roman" w:hAnsi="Times New Roman"/>
          <w:sz w:val="18"/>
          <w:szCs w:val="18"/>
          <w:color w:val="auto"/>
        </w:rPr>
        <w:t>Historically, our revenue has been significantly concentrated in a small number of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8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Volume. </w:t>
      </w:r>
      <w:r>
        <w:rPr>
          <w:rFonts w:ascii="Times New Roman" w:cs="Times New Roman" w:eastAsia="Times New Roman" w:hAnsi="Times New Roman"/>
          <w:sz w:val="18"/>
          <w:szCs w:val="18"/>
          <w:color w:val="auto"/>
        </w:rPr>
        <w:t>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12 to 18 months following a design win; however, in some markets, lengthier product and development cycles are possible, depending on the scope and nature of the project, such as in the automotive market. An IoT product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Chain Conditions on Our Business. </w:t>
      </w:r>
      <w:r>
        <w:rPr>
          <w:rFonts w:ascii="Times New Roman" w:cs="Times New Roman" w:eastAsia="Times New Roman" w:hAnsi="Times New Roman"/>
          <w:sz w:val="18"/>
          <w:szCs w:val="18"/>
          <w:color w:val="auto"/>
        </w:rPr>
        <w:t>The semiconductor industry faced significant global supply chain challenges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few years. Supply chain issues can impact our business as they relate to both our suppliers and our customers. We have seen cycles of supply chain challenges in the past, which may recur in future periods as well, with constant changes in the macro-economic environment, including potential retaliatory tariffs and restrictions on exports to foreign locations due to the recent imposition of tariffs by the U.S. Government on imports.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0"/>
              </w:rPr>
              <w:t>(dollars in 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390,702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284,865</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159,436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231,266</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172,330</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136,817</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238,519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226,109</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215,052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313,793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298,925</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291,377</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(126,595)</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(154,560)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(117,728)</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(148,530)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(117,126)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(169,417)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-2211070</wp:posOffset>
            </wp:positionV>
            <wp:extent cx="51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-2211070</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-2211070</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-1645285</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-1645285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-1645285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-1362075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-1362075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-1362075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-1079500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-1079500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53" w:name="page54"/>
    <w:bookmarkEnd w:id="53"/>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as a percentage of revenue of each line item for the periods indicated: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9"/>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r>
      <w:tr>
        <w:trPr>
          <w:trHeight w:val="216"/>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r>
      <w:tr>
        <w:trPr>
          <w:trHeight w:val="216"/>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(19) </w:t>
            </w:r>
            <w:r>
              <w:rPr>
                <w:rFonts w:ascii="Times New Roman" w:cs="Times New Roman" w:eastAsia="Times New Roman" w:hAnsi="Times New Roman"/>
                <w:sz w:val="24"/>
                <w:szCs w:val="24"/>
                <w:color w:val="auto"/>
                <w:vertAlign w:val="subscript"/>
              </w:rPr>
              <w:t>%</w:t>
            </w:r>
          </w:p>
        </w:tc>
        <w:tc>
          <w:tcPr>
            <w:tcW w:w="130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24"/>
                <w:szCs w:val="24"/>
                <w:color w:val="auto"/>
                <w:vertAlign w:val="subscript"/>
              </w:rPr>
              <w:t>%</w:t>
            </w:r>
          </w:p>
        </w:tc>
        <w:tc>
          <w:tcPr>
            <w:tcW w:w="132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(75) </w:t>
            </w:r>
            <w:r>
              <w:rPr>
                <w:rFonts w:ascii="Times New Roman" w:cs="Times New Roman" w:eastAsia="Times New Roman" w:hAnsi="Times New Roman"/>
                <w:sz w:val="24"/>
                <w:szCs w:val="24"/>
                <w:color w:val="auto"/>
                <w:vertAlign w:val="subscript"/>
              </w:rPr>
              <w:t>%</w:t>
            </w:r>
          </w:p>
        </w:tc>
      </w:tr>
      <w:tr>
        <w:trPr>
          <w:trHeight w:val="20"/>
        </w:trPr>
        <w:tc>
          <w:tcPr>
            <w:tcW w:w="5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-736600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-736600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-736600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-454025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-454025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-454025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low power AI-based processing and video and image processing SoC solutions to IoT OEMs, IoT ODMs, automotive OEMs or Tier-1 automotive suppliers, either directly or through our distributors. A substantial portion of our revenue from sales was made indirectly through one of our distributors, WT Microelectronics Co., Ltd., formerly Wintech Microelectronics Co., Ltd., or WT, which serves as our non-exclusive sales representative and fulfillment partner in Asia other than Japan, and to one ODM, Chicony Electronics Co., Ltd., or Chicony, which manufactures devices incorporating our solutions on behalf of multiple end-customers.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average selling prices fluctuate based on the mix of our solutions sold in a period which reflects the impact of both changes in unit sales of existing solutions as well as the introduction and sales of new solutions. Our AI-based solutions generally have higher selling prices than our traditional video and image processing SoC solutions that do not enable AI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customer preferences have evolved in response to new technologies. As a result, the composition and timing of our revenue may change in future periods. We expect shifts in use of video capture to continue to change over time, as AI specialized use cases emerge and video capture continues to proliferate.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54" w:name="page55"/>
    <w:bookmarkEnd w:id="5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generally increase in absolute dollars as we continue to enhance and expand our product features and offerings and increase headcount for new SoC development and development of AI technologies.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such as accounting, tax, or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AI technology, including, but not limited to, costs expected to be incurred on the expansion of an indirect sales channel.</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yields from our cash deposits and debt security investments, realized gains and losses from equity and debt security investments, subsidies and grants issued by governments, as well as gains and losses from foreign currency transaction remeasurements.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80" w:firstLine="478"/>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8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Fiscal Years Ended January 31, 2026, 2025 and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78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780" w:type="dxa"/>
            <w:vAlign w:val="bottom"/>
            <w:tcBorders>
              <w:bottom w:val="single" w:sz="8" w:color="auto"/>
            </w:tcBorders>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$ 390,702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$ 284,865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$ 226,474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$ 105,837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58,391</w:t>
            </w: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in fiscal year 2026, as compared to fiscal year 2025, primarily due to higher product unit shipments and an increased percentage of sales from higher average selling price AI inference processors as a result of high demand for our edge AI solutions, partially offset by lower NRE project service revenue.</w:t>
      </w:r>
    </w:p>
    <w:p>
      <w:pPr>
        <w:spacing w:after="0" w:line="17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in fiscal year 2025, as compared to fiscal year 2024, primarily as a result of higher product unit shipments driven by customers' new product ramps, an increased percentage of our sales from higher value AI inference processors which contributed to a higher average selling price, as well as higher NRE project service revenue.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260" w:type="dxa"/>
            <w:vAlign w:val="bottom"/>
            <w:gridSpan w:val="5"/>
            <w:vMerge w:val="restart"/>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260" w:type="dxa"/>
            <w:vAlign w:val="bottom"/>
            <w:tcBorders>
              <w:bottom w:val="single" w:sz="8" w:color="auto"/>
            </w:tcBorders>
            <w:gridSpan w:val="5"/>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6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60.4%</w:t>
            </w:r>
          </w:p>
        </w:tc>
        <w:tc>
          <w:tcPr>
            <w:tcW w:w="118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Gross margin decreased in fiscal year 2026, as compared to fiscal year 2025, primarily due to higher manufacturing costs associated with advanced process technologies, as well as lower sales of previously reserved inventory, partially offset by a higher percentage of sales from higher average selling price AI inference processors.</w:t>
      </w:r>
    </w:p>
    <w:p>
      <w:pPr>
        <w:spacing w:after="0" w:line="176"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Gross margin increased marginally in fiscal year 2025, as compared to fiscal year 2024, primarily due to a higher percentage of sales from higher average selling price AI inference processors, as well as increased higher margin NRE project service revenue, partially offset by higher manufacturing costs associated with advanced process technologies.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6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60" w:type="dxa"/>
            <w:vAlign w:val="bottom"/>
            <w:tcBorders>
              <w:bottom w:val="single" w:sz="8" w:color="auto"/>
            </w:tcBorders>
            <w:gridSpan w:val="5"/>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$ 238,519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$ 226,109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215,052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12,410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in fiscal year 2026, as compared to fiscal year 2025, primarily due to approximately $4.8 million of additional engineering-related costs, including chip development cost and tools and equipment expense, associated with the progress and number of chips in development. The increase was also attributable to approximately $4.4 million of higher personnel costs, including employee benefits, and approximately $3.2 million of additional facility-related costs allocated associated with relocation of our headquarters in fiscal year 2026.</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in fiscal year 2025, as compared to fiscal year 2024, primarily due to approximately $4.2 million of additional engineering-related expenses associated with supporting our AI inference processor and radar solutions, and $3.4 million of additional SoC development cost from our foundries associated with our chip development progress. The increase was also attributable to approximately $3.4 million of additional personnel costs, including stock-based compensation expense, as a result of an increase in headcount.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Borders>
              <w:bottom w:val="single" w:sz="8" w:color="auto"/>
            </w:tcBorders>
            <w:gridSpan w:val="5"/>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75,274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72,816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2,458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(3,509)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75"/>
        </w:trPr>
        <w:tc>
          <w:tcPr>
            <w:tcW w:w="3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6" w:name="page57"/>
    <w:bookmarkEnd w:id="56"/>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in fiscal year 2026, as compared to fiscal year 2025, primarily due to approximately $1.7 million of higher personnel costs, including employee benefits, and approximately $0.7 million of higher marketing and travel expenses.</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decreased in fiscal year 2025, as compared to fiscal year 2024, primarily due to approximately $3.0 million of lower net personnel costs associated with departures of certain employees and $0.9 million of lower facility-related expenses. The decrease was partially offset by approximately $0.3 million of additional professional service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6"/>
            <w:vMerge w:val="restart"/>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5"/>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marginal decrease in other income, net, in fiscal year 2026, as compared to fiscal year 2025, was primarily due to a $0.6 million government grant released in fiscal year 2025 that did not recur in fiscal year 2026, offset by approximately $0.6 million of higher interest income and yields from our cash deposits and debt security investments.</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increase in other income, net, in fiscal year 2025, as compared to fiscal year 2024, was primarily due to an approximately $1.2 million impairment charge relating to an equity investment recognized in fiscal year 2024 that did not recur in fiscal year 2025, approximately $0.9 million of higher interest income and yields from our cash deposits and debt security investments, as well as $0.8 million of net gains from a government grant and foreign currency transactions and remeasurements.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40" w:type="dxa"/>
            <w:vAlign w:val="bottom"/>
            <w:gridSpan w:val="7"/>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40" w:type="dxa"/>
            <w:vAlign w:val="bottom"/>
            <w:tcBorders>
              <w:bottom w:val="single" w:sz="8" w:color="auto"/>
            </w:tcBorders>
            <w:gridSpan w:val="7"/>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72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2,168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(460.1)%</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(21,489)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(14.1)%</w:t>
            </w:r>
          </w:p>
        </w:tc>
        <w:tc>
          <w:tcPr>
            <w:tcW w:w="220" w:type="dxa"/>
            <w:vAlign w:val="bottom"/>
          </w:tcPr>
          <w:p>
            <w:pPr>
              <w:spacing w:after="0"/>
              <w:rPr>
                <w:sz w:val="20"/>
                <w:szCs w:val="20"/>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(3.44)%</w:t>
            </w:r>
          </w:p>
        </w:tc>
        <w:tc>
          <w:tcPr>
            <w:tcW w:w="340" w:type="dxa"/>
            <w:vAlign w:val="bottom"/>
          </w:tcPr>
          <w:p>
            <w:pPr>
              <w:spacing w:after="0"/>
              <w:rPr>
                <w:sz w:val="20"/>
                <w:szCs w:val="20"/>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14.6%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increased in fiscal 2026, as compared to fiscal year 2025, primarily due to reduced pre-tax loss and a reduction in benefit from income tax reserve release, partially offset by a decrease in non-deductible stock-based compensation.</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tax expense decreased in fiscal year 2025, as compared to fiscal year 2024, primarily due to a one-time charge of $22.7 million of valuation allowance in fiscal year 2024 that did not recur in fiscal year 2025, a benefit from income tax reserve release upon the lapse of the statute of limitations of $2.8 million and an increase in the proportion of profits generated in lower tax jurisdictions, partially offset by an increase in non-deductible stock-based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73,519</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33,836</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2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-1096645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-1096645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7" w:name="page58"/>
    <w:bookmarkEnd w:id="5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19"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year 2026 compared to fiscal year 2025: </w:t>
      </w:r>
      <w:r>
        <w:rPr>
          <w:rFonts w:ascii="Times New Roman" w:cs="Times New Roman" w:eastAsia="Times New Roman" w:hAnsi="Times New Roman"/>
          <w:sz w:val="18"/>
          <w:szCs w:val="18"/>
          <w:color w:val="auto"/>
        </w:rPr>
        <w:t>Cash provided by operating activities increased primarily due to improved operating results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cash inflows from changes in working capital.</w:t>
      </w:r>
    </w:p>
    <w:p>
      <w:pPr>
        <w:spacing w:after="0" w:line="50" w:lineRule="exact"/>
        <w:rPr>
          <w:sz w:val="20"/>
          <w:szCs w:val="20"/>
          <w:color w:val="auto"/>
        </w:rPr>
      </w:pPr>
    </w:p>
    <w:p>
      <w:pPr>
        <w:ind w:right="6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year 2025 compared to fiscal year 2024: </w:t>
      </w:r>
      <w:r>
        <w:rPr>
          <w:rFonts w:ascii="Times New Roman" w:cs="Times New Roman" w:eastAsia="Times New Roman" w:hAnsi="Times New Roman"/>
          <w:sz w:val="18"/>
          <w:szCs w:val="18"/>
          <w:color w:val="auto"/>
        </w:rPr>
        <w:t>Cash provided by operating activities increased primarily due to improved operating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higher cash outflows as a result of changes in working capital.</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19"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2026 compared to fiscal year 2025: </w:t>
      </w:r>
      <w:r>
        <w:rPr>
          <w:rFonts w:ascii="Times New Roman" w:cs="Times New Roman" w:eastAsia="Times New Roman" w:hAnsi="Times New Roman"/>
          <w:sz w:val="18"/>
          <w:szCs w:val="18"/>
          <w:color w:val="auto"/>
        </w:rPr>
        <w:t>Net cash used in investing activities decreased primarily due to approximately $15.2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net cash received from our debt security investments, partially offset by approximately $5.1 million higher payments for our purchase of capital assets and software licenses.</w:t>
      </w:r>
    </w:p>
    <w:p>
      <w:pPr>
        <w:spacing w:after="0" w:line="65"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2025 compared to fiscal year 2024: </w:t>
      </w:r>
      <w:r>
        <w:rPr>
          <w:rFonts w:ascii="Times New Roman" w:cs="Times New Roman" w:eastAsia="Times New Roman" w:hAnsi="Times New Roman"/>
          <w:sz w:val="18"/>
          <w:szCs w:val="18"/>
          <w:color w:val="auto"/>
        </w:rPr>
        <w:t>Net cash used in investing activities increased primarily due to approximately $36.5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cash payments for our debt security purchases and $13.5 million of less cash proceeds from maturities and sales of our debt security investments, partially offset by $1.6 million less in payment for the purchase of property and equipment.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19"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2026 compared to fiscal year 2025: </w:t>
      </w:r>
      <w:r>
        <w:rPr>
          <w:rFonts w:ascii="Times New Roman" w:cs="Times New Roman" w:eastAsia="Times New Roman" w:hAnsi="Times New Roman"/>
          <w:sz w:val="18"/>
          <w:szCs w:val="18"/>
          <w:color w:val="auto"/>
        </w:rPr>
        <w:t>Net cash provided by financing activities decreased primarily due to approximately $2.6 million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received from stock activities and our repurchase of approximately $1.0 million of our ordinary shares, partially offset by approximately $1.0 million of higher principal payments associated with long-term software license agreements.</w:t>
      </w:r>
    </w:p>
    <w:p>
      <w:pPr>
        <w:spacing w:after="0" w:line="65" w:lineRule="exact"/>
        <w:rPr>
          <w:sz w:val="20"/>
          <w:szCs w:val="20"/>
          <w:color w:val="auto"/>
        </w:rPr>
      </w:pPr>
    </w:p>
    <w:p>
      <w:pPr>
        <w:jc w:val="both"/>
        <w:ind w:right="3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2025 compared to fiscal year 2024: </w:t>
      </w:r>
      <w:r>
        <w:rPr>
          <w:rFonts w:ascii="Times New Roman" w:cs="Times New Roman" w:eastAsia="Times New Roman" w:hAnsi="Times New Roman"/>
          <w:sz w:val="18"/>
          <w:szCs w:val="18"/>
          <w:color w:val="auto"/>
        </w:rPr>
        <w:t>Net cash provided by financing activities increased primarily due to approximately $3.0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cash receipts from stock activities, partially offset by approximately $1.1 million higher principal payments associated with long-term software license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There were no shares repurchased in fiscal years 2025 and 2024. In the first quarter of fiscal year 2026, we repurchased a total of 24,152 of our ordinary shares for approximately $1.0 million in cash. The repurchased shares were recorded as authorized but unissued shares. On May 28, 2025, our Board of Directors approved an extension of the existing share repurchase program for an additional twelve months through June 30, 2026. Refer to </w:t>
      </w:r>
      <w:r>
        <w:rPr>
          <w:rFonts w:ascii="Times New Roman" w:cs="Times New Roman" w:eastAsia="Times New Roman" w:hAnsi="Times New Roman"/>
          <w:sz w:val="18"/>
          <w:szCs w:val="18"/>
          <w:i w:val="1"/>
          <w:iCs w:val="1"/>
          <w:color w:val="auto"/>
        </w:rPr>
        <w:t xml:space="preserve">Purchases of Equity Securities by the Issuer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Item 5 Market for Registrant's Common Equity, Related Stockholder Matters and Issuer Purchases of Equity Securities </w:t>
      </w:r>
      <w:r>
        <w:rPr>
          <w:rFonts w:ascii="Times New Roman" w:cs="Times New Roman" w:eastAsia="Times New Roman" w:hAnsi="Times New Roman"/>
          <w:sz w:val="18"/>
          <w:szCs w:val="18"/>
          <w:color w:val="auto"/>
        </w:rPr>
        <w:t>for additional information.</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2026, we had cash, cash equivalents and marketable debt securities on hand of approximately $312.6 million, compared with approximately $250.3 million as of January 31, 2025.</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short-term and long-term capital requirements will depend on many factors, including the following:</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from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our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research and development of new technologies and products to address new markets and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macroeconomic conditions, high inflation and trade restrictions;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or participating in litigation-related activities;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complementary businesses, products and technologies.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outstanding contractual obligations as of January 31,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10"/>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Payment Due by Period as of January 31, 2026</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All</w:t>
            </w:r>
          </w:p>
        </w:tc>
        <w:tc>
          <w:tcPr>
            <w:tcW w:w="0" w:type="dxa"/>
            <w:vAlign w:val="bottom"/>
          </w:tcPr>
          <w:p>
            <w:pPr>
              <w:spacing w:after="0"/>
              <w:rPr>
                <w:sz w:val="1"/>
                <w:szCs w:val="1"/>
                <w:color w:val="auto"/>
              </w:rPr>
            </w:pPr>
          </w:p>
        </w:tc>
      </w:tr>
      <w:tr>
        <w:trPr>
          <w:trHeight w:val="82"/>
        </w:trPr>
        <w:tc>
          <w:tcPr>
            <w:tcW w:w="4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58"/>
        </w:trPr>
        <w:tc>
          <w:tcPr>
            <w:tcW w:w="470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Technology licenses </w:t>
            </w:r>
            <w:r>
              <w:rPr>
                <w:rFonts w:ascii="Times New Roman" w:cs="Times New Roman" w:eastAsia="Times New Roman" w:hAnsi="Times New Roman"/>
                <w:sz w:val="24"/>
                <w:szCs w:val="2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Manufacturing purchase commitments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47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Capital commitments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Service commitments </w:t>
            </w:r>
            <w:r>
              <w:rPr>
                <w:rFonts w:ascii="Times New Roman" w:cs="Times New Roman" w:eastAsia="Times New Roman" w:hAnsi="Times New Roman"/>
                <w:sz w:val="24"/>
                <w:szCs w:val="24"/>
                <w:color w:val="auto"/>
                <w:vertAlign w:val="superscript"/>
              </w:rPr>
              <w:t>(4)</w:t>
            </w: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obligations primarily represent future cash payments for noncancelable software licenses used in product design.</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purchase commitments consist primarily of inventory purchase commitments with our independent contract manufacturers.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 primarily represents future construction costs for our office building in Parma, Italy.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commitment represents future cash payments for our IT infrastructure services and support and maintenance for software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9258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also have lease obligations primarily for our worldwide office facilities. As of January 31, 2026, these undiscounted lease payments were a total of $18.2 million, with $3.0 million due in the next 12 months. Refer to </w:t>
      </w:r>
      <w:r>
        <w:rPr>
          <w:rFonts w:ascii="Times New Roman" w:cs="Times New Roman" w:eastAsia="Times New Roman" w:hAnsi="Times New Roman"/>
          <w:sz w:val="18"/>
          <w:szCs w:val="18"/>
          <w:i w:val="1"/>
          <w:iCs w:val="1"/>
          <w:color w:val="auto"/>
        </w:rPr>
        <w:t>Note 8 Leases</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xml:space="preserve"> for further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Restricted Stock Units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Grants of stock-based awards are key components of the compensation packages we provide to attract and retain employees and to align their interests with the interests of shareholders. We recognize that these stock-based awards will dilute existing shareholders and have sought to limit the number of shares granted while providing competitive compensation packages. As of January 31, 2026, we had a total of 2.8 million ordinary shares subject to outstanding stock options and unvested restricted stock units, which will dilute our existing shareholders. This potential dilution will only result if outstanding options vest and are exercised and restricted stock units vest and are settled.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See Note 1, “Organization and Summary of Significant Accounting Policies—Recent Accounting Pronouncements” of the Notes to the Consolidated Financial Statements, included in Part IV, Item 15 of this report, for a full description of recent accounting standards, including the respective dates of adoption and effects on our consolidated financial position,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audited consolidated financial statements in conformity with U.S. generally accepted accounting principles, or GAAP, requires us to make estimates, judgments and assumptions that affect the reported amounts of assets and liabilities, the disclosure of contingent assets and liabilities at the date of the financial statements and the reported amounts of revenue and expense during the reported periods. On an ongoing basis, we evaluate our estimates and assumptions, including those related to (i) write downs of excess and obsolete inventories; (ii) the estimated useful lives of long-lived assets;</w:t>
      </w:r>
    </w:p>
    <w:p>
      <w:pPr>
        <w:spacing w:after="0" w:line="3" w:lineRule="exact"/>
        <w:rPr>
          <w:sz w:val="20"/>
          <w:szCs w:val="20"/>
          <w:color w:val="auto"/>
        </w:rPr>
      </w:pPr>
    </w:p>
    <w:p>
      <w:pPr>
        <w:ind w:right="60" w:firstLine="8"/>
        <w:spacing w:after="0" w:line="252"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stock-based compensation awards; (iv) the realization of tax assets and estimates of tax liabilities, including reserves for uncertain tax positions and recognition or release of valuation allowance on deferred tax assets. These estimates and assumptions are based on historical experience and on various other factors which we believe to be reasonable under the circumstances. We may engage third-party valuation specialists to assist with estimates related to the valuation of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19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more significant areas involving management’s judgment and estimates: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Codification (ASC) 606, Revenue from Contracts with Customers, we recognize revenue when control of goods and services is transferred to our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sale of semiconductor products accounts for the substantial majority of our consolidated revenue. Sales agreements with customers are renewable periodically and contain terms and conditions with respect to payment, delivery, warranty, supply and other rights. We consider an accepted customer purchase order, governed by sales agreement, to be the contract with the customer. For each contract, we consider the promise to transfer tangible products to be the identified performance obligation. Product sales contracts may include volume-based tiered pricing or rebates that are fulfilled in cash or product. In determining the transaction price, we account for the right of returns, cash rebates, commissions and other pricing adjustments as variable consideration, estimate these amounts based on the expected amount to be provided to customers and reduce the revenue recognized. We estimate sales returns and rebates based on our historical patterns of return and pricing credits. As our standard payment terms are 30 days to 60 days, the contracts have no financing component. For a limited number of contracts that include volume-based tiered pricing, we estimate the total consideration to be received by using the expected value method for each contract, compute weighted average selling price for each unit shipped in cases where there is a material right due to the presence of volume-based tiered pricing, allocate the total consideration between the identified performance obligations, and recognize revenue when control of goods and services is transferred to our customers. We consider product control to be transferred at a point in time upon shipment or delivery because we have a present right to payment at that time, the customer has legal title to the asset, we have transferred physical possession of the asset, and the customer has significant risk and rewards of ownership of the asset.</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also enter into various project service agreements with certain customers, including development funding agreements subject to certain refund conditions. In determining whether a development funding agreement constitutes a contract with a customer, we assess whether the substantive and genuine financial risk has been transferred to the funding party and whether the services provided to the funding party are an output of our ordinary activities in exchange for consideration.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our SoC into the customer’s product. Accordingly, we determine that they are not separately identifiable and shall be treated as a single performance obligation. For project service contracts containing variable consideration, we estimate variable consideration using the most likely amount method which we believe better predicts the amount of consideration to which we expect to be entitled. Variable consideration is included in the transaction price only to the extent that it is probable that a significant reversal of cumulative revenue recognized will not occur, in accordance with the variable consideration constraint. We recognize revenue on project service contracts either over time as services are provided using an input method based on contract costs incurred to date compared to total estimated contract cost, or at a point in time upon completion and acceptance by the customer, depending on the terms of the arrangement. For project service contracts that are billed at a fixed rate for each hour of service provided, we recognize revenue in the amount for which we have the right to invoice as we believe the amount invoiced directly corresponds with the value to the customer of our performance completed to date.</w:t>
      </w:r>
    </w:p>
    <w:p>
      <w:pPr>
        <w:spacing w:after="0" w:line="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our customers. We record contract assets when revenue is recognized prior to invoicing. Our contract assets are primarily related to the satisfied but unbilled performance obligations associated with project service agreements at the reporting date. As of January 31, 2026 and 2025, the contract assets for these unbilled receivables were not material, respectively. Our contract liabilities consist of deferred revenue. The deferred revenue is primarily related to the nonrecurring engineering charges that are either invoiced or paid but performance obligations are not satisfied, as well as the portion of a transaction price that exceeds the weighted average selling price for products sold to date under tiered-pricing contracts that contain material rights. The deferred revenue is expected to be recognized over the period when performance obligations are satisfied associated with project service agreements, or over the course of the contract when products are delivered for future pricing below the weighted average selling price of the contract. We elect not to disclose the value of unsatisfied or partially unsatisfied performance obligations for contracts with original expected contract duration of one year or less, and elect to exclude amounts collected from customers for all sales taxes from the transaction price.</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record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do not amortize goodwill. We test goodwill for impairment at least annually in the fourth fiscal quarter, or sooner whenever events or changes in circumstances indicate that the asset may be impaired. There is only one single reporting unit for goodwill impairment test purposes based on our business and reporting structure. We are permitted to first assess qualitative factors to determine whether the two step goodwill impairment test is necessary. Further testing is only required if we determine, based on the qualitative assessment, that it is more likely than not that the reporting unit’s fair value is less than its carrying amount. Otherwise, no further impairment testing is required. Qualitative factors include industry and market considerations, overall financial performance, and other relevant events and factors affecting the reporting unit</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No goodwill impairment has been identified to date based on our qualitative factors assessment.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measure stock-based compensation for equity awards based on the estimated fair value on the grant date, and recognize that compensation as expense using the straight-line attribution method over the requisite service period, which is typically the vesting period of each award. We determine the fair value of restricted stock units with service conditions based on the fair market value of our ordinary shares on the grant date. We use the Lattice pricing model and perform Monte Carlo Simulation to evaluate the fair value of restricted stock units with market conditions. We also use the Black-Scholes option pricing model to determine the fair value of shares to be issued under our employee stock purchase plan, or ESPP, at the commencement of an offering period. We elect to account for forfeitures as they occur.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apply authoritative guidance for the accounting for uncertainty in income taxes. The guidance requires that tax effects of a position be recognized only if it is “more likely than not” to be sustained based solely on its technical merits as of the reporting date. Upon estimating our tax positions and tax benefits, we consider and evaluate numerous factors, which may require periodic adjustments and which may not reflect the final tax liabilities. We adjust our financial statements to reflect only those tax positions that are more likely than not to be sustained under examination.</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assessing whether deferred tax assets may be realized, we consider whether it is more likely than not that some portion or all of deferred tax assets will be realized. The ultimate realization of deferred tax assets is dependent upon the generation of future taxable income.</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make estimates and judgments about our future taxable income based on assumptions that are consistent with our plans and estimates. Should the actual amounts differ from estimates, the amount of valuation allowance could be materially impacted. Any adjustment to the deferred tax asset valuation allowance would be recorded in the consolidated statements of operations for the periods in which the adjustment is determined to be required.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had cash, cash equivalents and marketable debt securities totaling $312.6 million and $250.3 million at January 31, 2026 and 2025, respectively. Our cash is deposited in checking accounts with reputable financial institutions in excess of the Federal Deposit Insurance Corporation, or FDIC, insurance coverage limit of $250,000 per depositor, per FDIC-insured bank, per ownership category. The cash equivalents and marketable debt securities consist primarily of investments in money market funds, fixed deposits, commercial paper, corporate bonds, asset-backed securities and U.S. government securities. Our cash is held primarily for working capital purposes. We do not enter into investments for trading or speculative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1" w:name="page62"/>
    <w:bookmarkEnd w:id="61"/>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primary objective of our investment activities is to preserve capital, and provide both, liquidity and income, without significantly increasing risk. Some of the securities we invest in are subject to market risk. This means that a change in prevailing interest rates may have an impact on </w:t>
      </w:r>
      <w:r>
        <w:rPr>
          <w:rFonts w:ascii="Times New Roman" w:cs="Times New Roman" w:eastAsia="Times New Roman" w:hAnsi="Times New Roman"/>
          <w:sz w:val="18"/>
          <w:szCs w:val="18"/>
          <w:color w:val="212529"/>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income and the fair market value of those securities</w:t>
      </w:r>
      <w:r>
        <w:rPr>
          <w:rFonts w:ascii="Times New Roman" w:cs="Times New Roman" w:eastAsia="Times New Roman" w:hAnsi="Times New Roman"/>
          <w:sz w:val="18"/>
          <w:szCs w:val="18"/>
          <w:color w:val="000000"/>
        </w:rPr>
        <w:t>. To minimize this risk, we maintain our portfolio in a variety of debt securities with high liquidity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low credit risk. The current inflationary environment and interest rates have not had a material negative impact on our investment portfolio and financial position to date. We do not enter into investments for trading or speculative purposes. As of January 31, 2026, a hypothetical 10% change in interest rates would not have a material impact on our interest income or investment fair value.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date, all of our product sales and inventory purchases have been denominated in U.S. dollars. We therefore have not had any foreign currency revaluation risk associated with these two activities. The functional currency of all our entities is the U.S. dollar. Our operations outside of the United States incur operating expenses and hold assets and liabilities denominated in foreign currencies, principally the New Taiwan Dollar, the Chinese Yuan Renminbi and the Eurozone Euro. A hypothetical 10% fluctuation in exchange rates of these currencies will change our consolidated operating expenses by approximately 2%. Gains or losses from foreign currency transaction remeasurement are included in other income, net, in the Consolidated Statements of Operations and were immaterial for the fiscal years ended January 31, 2026, 2025 and 2024, respectively. To date, we have not entered into any foreign currency hedging contracts. We also do not expect to enter into foreign currency exchange contracts for trading or speculative purposes.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set forth as a separate section of this Annual Report on Form 10-K. See Item 15 for a listing of financial statements provided in the section titled “Financial Statements.”</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08" w:right="6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Annual Report on Form 10-K.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January 31, 2026,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jc w:val="both"/>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Management has evaluated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issued by the Committee of Sponsoring Organizations of the Treadway Commission (COSO). Based on this evaluation,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concluded that our internal control over financial reporting was effective as of January 31, 2026.</w:t>
      </w:r>
    </w:p>
    <w:p>
      <w:pPr>
        <w:spacing w:after="0" w:line="6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31, 2026 has been audited by PricewaterhouseCoopers LLP, an independent registered public accounting firm, as stated in their report, which appears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January 31, 2026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Disclosure Controls and Procedures and Internal Control over Financial Reporting</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During our fourth quarter of fiscal year 2026, one officer adopted a “Rule 10b5-1 trading arrangement” as defined in Regulation S-K Item 408, as follows: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4" w:name="page65"/>
    <w:bookmarkEnd w:id="64"/>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January 15, 2026, John A. Young, our Chief Financial Officer, adopted a Rule 10b5-1 trading arrangement providing for the sale from time to time of up to an aggregate of: (a) 25,000 shares subject to an outstanding stock option plus (b) the net shares resulting from the vesting of 21,850 outstanding restricted stock units (RSUs) less shares sold to cover withholding taxes on such vested shares. The trading arrangement is intended to satisfy the affirmative defense in Rule 10b5-1(c). The duration of the trading arrangement is until March 31, 2027, or earlier if all transactions under the trading arrangement are completed.</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 other director or officer, as defined in Rule 16a-1(f), adopted or terminated a “Rule 10b5-1 trading arrangement” or a “non-Rule 10b5-1 trading arrangement,” each as defined in Regulation S-K Item 408, during the last fiscal quarter ended January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12" w:right="459" w:bottom="1440" w:gutter="0" w:footer="0" w:header="0"/>
        </w:sectPr>
      </w:pPr>
    </w:p>
    <w:bookmarkStart w:id="65" w:name="page66"/>
    <w:bookmarkEnd w:id="6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2026 annual meeting of shareholders to be filed with the Securities and Exchange Commission pursuant to Regulation 14A not later than 120 days after the end of the fiscal year covered by this Annual Report on Form 10-K.</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 Code of Business Conduct and Ethics for all of our directors, officers and employees. We also have a Code of Ethics for Finance Team applicable to our Chief Executive Officer, Chief Financial Officer and other Senior Financial Officers. These documents are available on our website at http://investor.ambarella.com/corporate-governance. To date, there have been no waivers under our Code of Business Conduct and Ethics and Code of Ethics for Finance Team. We will post any amendments or waivers, if and when granted, of our Code of Business Conduct and Ethics and Code of Ethics for Finance Team on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2026 annual meeting of shareholders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2026 annual meeting of shareholders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2026 annual meeting of shareholders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2026 annual meeting of shareholders to be filed with the Securities and Exchange Commission pursuant to Regulation 14A not later than 120 days after the end of the fiscal year covered by this Annual Report on Form 10-K.</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08" w:right="499" w:bottom="1440" w:gutter="0" w:footer="0" w:header="0"/>
        </w:sectPr>
      </w:pPr>
    </w:p>
    <w:bookmarkStart w:id="66" w:name="page67"/>
    <w:bookmarkEnd w:id="66"/>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the Registrant and Report of PricewaterhouseCoopers LLP, Independent Registered Public Accounting Firm, are included herewith:</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970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Financial Statement Description</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7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Report of Independent</w:t>
            </w:r>
          </w:p>
        </w:tc>
        <w:tc>
          <w:tcPr>
            <w:tcW w:w="7340" w:type="dxa"/>
            <w:vAlign w:val="bottom"/>
            <w:gridSpan w:val="10"/>
          </w:tcPr>
          <w:p>
            <w:pPr>
              <w:ind w:left="20"/>
              <w:spacing w:after="0" w:line="169" w:lineRule="exact"/>
              <w:rPr>
                <w:sz w:val="20"/>
                <w:szCs w:val="20"/>
                <w:color w:val="auto"/>
              </w:rPr>
            </w:pPr>
            <w:r>
              <w:rPr>
                <w:rFonts w:ascii="Times New Roman" w:cs="Times New Roman" w:eastAsia="Times New Roman" w:hAnsi="Times New Roman"/>
                <w:sz w:val="18"/>
                <w:szCs w:val="18"/>
                <w:color w:val="0000FF"/>
              </w:rPr>
              <w:t xml:space="preserve">Registered Public Accounting Firm </w:t>
            </w:r>
            <w:r>
              <w:rPr>
                <w:rFonts w:ascii="Times New Roman" w:cs="Times New Roman" w:eastAsia="Times New Roman" w:hAnsi="Times New Roman"/>
                <w:sz w:val="18"/>
                <w:szCs w:val="18"/>
                <w:color w:val="000000"/>
              </w:rPr>
              <w:t>(PCAOB ID: 238)</w:t>
            </w: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January 31, 2026 and 2025</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7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January 31, 2026, 2025 and 2024</w:t>
            </w:r>
          </w:p>
        </w:tc>
        <w:tc>
          <w:tcPr>
            <w:tcW w:w="20" w:type="dxa"/>
            <w:vAlign w:val="bottom"/>
            <w:tcBorders>
              <w:bottom w:val="single" w:sz="8" w:color="0000EE"/>
            </w:tcBorders>
          </w:tcPr>
          <w:p>
            <w:pPr>
              <w:spacing w:after="0"/>
              <w:rPr>
                <w:sz w:val="17"/>
                <w:szCs w:val="17"/>
                <w:color w:val="auto"/>
              </w:rPr>
            </w:pPr>
          </w:p>
        </w:tc>
        <w:tc>
          <w:tcPr>
            <w:tcW w:w="218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5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Loss For the Years Ended January 31, 2026, 2025 and 2024</w:t>
            </w:r>
          </w:p>
        </w:tc>
        <w:tc>
          <w:tcPr>
            <w:tcW w:w="20" w:type="dxa"/>
            <w:vAlign w:val="bottom"/>
            <w:tcBorders>
              <w:bottom w:val="single" w:sz="8" w:color="0000EE"/>
            </w:tcBorders>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5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Shareholders’ Equity For the Years Ended January 31, 2026, 2025 and 2024</w:t>
            </w:r>
          </w:p>
        </w:tc>
        <w:tc>
          <w:tcPr>
            <w:tcW w:w="14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January 31, 2026, 2025 and 2024</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1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top w:val="single" w:sz="8" w:color="0000FF"/>
              <w:bottom w:val="single" w:sz="8" w:color="0000EE"/>
            </w:tcBorders>
          </w:tcPr>
          <w:p>
            <w:pPr>
              <w:spacing w:after="0"/>
              <w:rPr>
                <w:sz w:val="17"/>
                <w:szCs w:val="17"/>
                <w:color w:val="auto"/>
              </w:rPr>
            </w:pPr>
          </w:p>
        </w:tc>
        <w:tc>
          <w:tcPr>
            <w:tcW w:w="3660" w:type="dxa"/>
            <w:vAlign w:val="bottom"/>
            <w:tcBorders>
              <w:top w:val="single" w:sz="8" w:color="0000FF"/>
            </w:tcBorders>
            <w:gridSpan w:val="5"/>
          </w:tcPr>
          <w:p>
            <w:pPr>
              <w:spacing w:after="0"/>
              <w:rPr>
                <w:sz w:val="17"/>
                <w:szCs w:val="17"/>
                <w:color w:val="auto"/>
              </w:rPr>
            </w:pPr>
          </w:p>
        </w:tc>
        <w:tc>
          <w:tcPr>
            <w:tcW w:w="21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74</w:t>
            </w:r>
          </w:p>
        </w:tc>
      </w:tr>
    </w:tbl>
    <w:p>
      <w:pPr>
        <w:spacing w:after="0" w:line="329"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 Financial Statement Schedule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Financial statement schedules are omitted because they are not applicable or the required information is shown in the Financial Statements or the notes thereto.</w:t>
      </w:r>
    </w:p>
    <w:p>
      <w:pPr>
        <w:spacing w:after="0" w:line="266"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exhibits listed below in the accompanying “Exhibits Index” are filed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8" w:right="479" w:bottom="1440" w:gutter="0" w:footer="0" w:header="0"/>
        </w:sectPr>
      </w:pPr>
    </w:p>
    <w:bookmarkStart w:id="67" w:name="page68"/>
    <w:bookmarkEnd w:id="67"/>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Ambarella,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Ambarella, Inc. and its subsidiaries (the "Company") as of January 31, 2026 and 2025, and the related consolidated statements of operations, of comprehensive loss, of shareholders' equity and of cash flows for each of the three years in the period ended January 31, 2026, including the related notes (collectively referred to as the "consolidated financial statements"). We also have audited the Company's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 Also in our opinion, the Company maintained, in all material respects, effective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described in Notes 1 and 14 to the consolidated financial statements, management records income taxes using the asset and liability method, which requires the recognition of deferred tax assets and liabilities for the expected future tax consequences of events that have been recognized in its financial statements or tax returns. Upon estimating the Company’s tax positions and tax benefits, management considers and evaluates numerous factors, which may require periodic adjustments and which may not reflect the final tax liabilities. Management adjusts the Company’s financial statements to reflect only those tax positions that are more likely than not to be sustained under examination. As part of the process of preparing consolidated financial statements, the Company is required to estimate its taxes in each of the jurisdictions in which it operates. Valuation allowances are provided when necessary to reduce deferred tax assets to the amount expected to be realized. Management regularly assesses the likelihood of adverse outcomes resulting from potential tax examinations to determine the adequacy of its provision for income taxes. These assessments can require considerable estimates and judgments. The Company’s worldwide operating income is subject to varying tax rates and its effective tax rate is highly dependent upon the geographic distribution of its earnings or losses and the tax laws and regulations in each geographical region. The Company recorded a provision for income taxes of $2.2 million for the year ended January 31, 2026, and has unrecognized tax benefits of $18.4 million, gross deferred tax assets of $84.3 million, gross deferred tax liabilities of $7.1 million, and a valuation allowance of $77.3 million as of January 31, 2026.</w:t>
      </w:r>
    </w:p>
    <w:p>
      <w:pPr>
        <w:spacing w:after="0" w:line="19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accounting for income taxes is a critical audit matter are (i) the significant judgment by management when determining the provision for income taxes, deferred tax assets, deferred tax liabilities, and unrecognized tax benefits; (ii) a high degree of auditor judgment, subjectivity, and effort in performing audit procedures and evaluating audit evidence relating to these tax account balances; and (iii) the audit effort involved the use of professionals with specialized skill and knowledge.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These procedures included testing the effectiveness of controls relating to accounting for income taxes. These procedures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among others (i) testing the provision for income taxes, including the effective tax rate reconciliation, certain permanent and temporary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differences, and on a sample basis, the allocation of income by jurisdiction; (ii) testing the completeness and accuracy of underlying data used in measuring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recognizing certain deferred tax assets and liabilities; and (iii) evaluating the completeness of management’s assessment of the identification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uncertain tax positions and unrecognized tax benefits. Professionals with specialized skill and knowledge were used to assist in testing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of income by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5"/>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191,019</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798,600</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203,811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issued and outstanding at January 31, 2026 and January 31, 2025, respectively</w:t>
            </w:r>
          </w:p>
        </w:tc>
        <w:tc>
          <w:tcPr>
            <w:tcW w:w="2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$0.00045 par value per share, 200,000,000 shares authorized; 43,305,592 and</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41,963,959 shares issued and outstanding at January 31, 2026 and January 31, 2025, respectively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 loss)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(327,922)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(252,057)</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594,789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798,600</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-4088130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-3256915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390,702</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284,865</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89,657</w:t>
            </w:r>
          </w:p>
        </w:tc>
        <w:tc>
          <w:tcPr>
            <w:tcW w:w="100" w:type="dxa"/>
            <w:vAlign w:val="bottom"/>
          </w:tcPr>
          <w:p>
            <w:pPr>
              <w:spacing w:after="0"/>
              <w:rPr>
                <w:sz w:val="18"/>
                <w:szCs w:val="18"/>
                <w:color w:val="auto"/>
              </w:rPr>
            </w:pPr>
          </w:p>
        </w:tc>
      </w:tr>
      <w:tr>
        <w:trPr>
          <w:trHeight w:val="210"/>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231,266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172,330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238,519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226,109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215,052</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76,325</w:t>
            </w:r>
          </w:p>
        </w:tc>
        <w:tc>
          <w:tcPr>
            <w:tcW w:w="100" w:type="dxa"/>
            <w:vAlign w:val="bottom"/>
          </w:tcPr>
          <w:p>
            <w:pPr>
              <w:spacing w:after="0"/>
              <w:rPr>
                <w:sz w:val="18"/>
                <w:szCs w:val="18"/>
                <w:color w:val="auto"/>
              </w:rPr>
            </w:pPr>
          </w:p>
        </w:tc>
      </w:tr>
      <w:tr>
        <w:trPr>
          <w:trHeight w:val="210"/>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313,793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(82,527)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(154,560)</w:t>
            </w:r>
          </w:p>
        </w:tc>
      </w:tr>
      <w:tr>
        <w:trPr>
          <w:trHeight w:val="216"/>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(73,697)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(148,530)</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100" w:type="dxa"/>
            <w:vAlign w:val="bottom"/>
            <w:shd w:val="clear" w:color="auto" w:fill="CFF0FC"/>
          </w:tcPr>
          <w:p>
            <w:pPr>
              <w:spacing w:after="0"/>
              <w:rPr>
                <w:sz w:val="18"/>
                <w:szCs w:val="18"/>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(75,865)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(117,126)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(169,417)</w:t>
            </w:r>
          </w:p>
        </w:tc>
      </w:tr>
      <w:tr>
        <w:trPr>
          <w:trHeight w:val="20"/>
        </w:trPr>
        <w:tc>
          <w:tcPr>
            <w:tcW w:w="5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5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4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(4.25)</w:t>
            </w:r>
          </w:p>
        </w:tc>
      </w:tr>
      <w:tr>
        <w:trPr>
          <w:trHeight w:val="178"/>
        </w:trPr>
        <w:tc>
          <w:tcPr>
            <w:tcW w:w="54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11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attributable to ordinary shareholders:</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42,704,312</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41,303,287</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39,878,872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4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42,704,312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41,303,287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39,878,872</w:t>
            </w: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-2365375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-2365375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-1799590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-1799590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-1517015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-1517015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-1233805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-1233805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-624840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-608330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-624840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-608330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(75,865)</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(117,126)</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(169,417)</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FF0FC"/>
          </w:tcPr>
          <w:p>
            <w:pPr>
              <w:spacing w:after="0"/>
              <w:rPr>
                <w:sz w:val="18"/>
                <w:szCs w:val="18"/>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r>
      <w:tr>
        <w:trPr>
          <w:trHeight w:val="23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(75,059)</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(117,176)</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(169,108)</w:t>
            </w: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-307975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-307975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6"/>
          <w:szCs w:val="16"/>
          <w:color w:val="auto"/>
        </w:rPr>
        <w:t>AMBARELLA,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SHAREHOLDERS’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9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1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w w:val="90"/>
              </w:rPr>
              <w:t>ve</w:t>
            </w:r>
          </w:p>
        </w:tc>
        <w:tc>
          <w:tcPr>
            <w:tcW w:w="112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4"/>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2"/>
                <w:szCs w:val="12"/>
                <w:color w:val="auto"/>
              </w:rPr>
            </w:pPr>
          </w:p>
        </w:tc>
        <w:tc>
          <w:tcPr>
            <w:tcW w:w="980" w:type="dxa"/>
            <w:vAlign w:val="bottom"/>
            <w:gridSpan w:val="3"/>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86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7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39,043,00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Balance--January 31, 2023</w:t>
            </w:r>
          </w:p>
        </w:tc>
        <w:tc>
          <w:tcPr>
            <w:tcW w:w="1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572,076</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34,486</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606,088</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700" w:type="dxa"/>
            <w:vAlign w:val="bottom"/>
            <w:tcBorders>
              <w:top w:val="single" w:sz="8" w:color="CFF0FC"/>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Issuance of shares through employee equity plans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1,325,539</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7,280</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gridSpan w:val="2"/>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7,280</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shares through employee stock purchase plan</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comprehensive income - net of tax</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(169,417)</w:t>
            </w:r>
          </w:p>
        </w:tc>
        <w:tc>
          <w:tcPr>
            <w:tcW w:w="0" w:type="dxa"/>
            <w:vAlign w:val="bottom"/>
          </w:tcPr>
          <w:p>
            <w:pPr>
              <w:spacing w:after="0"/>
              <w:rPr>
                <w:sz w:val="1"/>
                <w:szCs w:val="1"/>
                <w:color w:val="auto"/>
              </w:rPr>
            </w:pPr>
          </w:p>
        </w:tc>
      </w:tr>
      <w:tr>
        <w:trPr>
          <w:trHeight w:val="191"/>
        </w:trPr>
        <w:tc>
          <w:tcPr>
            <w:tcW w:w="47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40,520,55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Balance--January 31, 2024</w:t>
            </w:r>
          </w:p>
        </w:tc>
        <w:tc>
          <w:tcPr>
            <w:tcW w:w="1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694,967</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(134,931)</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559,871</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700" w:type="dxa"/>
            <w:vAlign w:val="bottom"/>
            <w:tcBorders>
              <w:top w:val="single" w:sz="8" w:color="CFF0FC"/>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Issuance of shares through employee equity plans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1,251,065</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8,360</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8,361</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shares through employee stock purchase plan</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comprehensive loss - net of tax</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(117,126)</w:t>
            </w:r>
          </w:p>
        </w:tc>
        <w:tc>
          <w:tcPr>
            <w:tcW w:w="0" w:type="dxa"/>
            <w:vAlign w:val="bottom"/>
          </w:tcPr>
          <w:p>
            <w:pPr>
              <w:spacing w:after="0"/>
              <w:rPr>
                <w:sz w:val="1"/>
                <w:szCs w:val="1"/>
                <w:color w:val="auto"/>
              </w:rPr>
            </w:pPr>
          </w:p>
        </w:tc>
      </w:tr>
      <w:tr>
        <w:trPr>
          <w:trHeight w:val="191"/>
        </w:trPr>
        <w:tc>
          <w:tcPr>
            <w:tcW w:w="47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41,963,95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Balance--January 31, 2025</w:t>
            </w:r>
          </w:p>
        </w:tc>
        <w:tc>
          <w:tcPr>
            <w:tcW w:w="1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19</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813,683</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(252,057)</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561,412</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700" w:type="dxa"/>
            <w:vAlign w:val="bottom"/>
            <w:tcBorders>
              <w:top w:val="single" w:sz="8" w:color="CFF0FC"/>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Issuance of shares through employee equity plans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1,179,875</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8,331</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8,331</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shares through employee stock purchase plan</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repurchase</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(24,152)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 net of tax</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(75,865)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(75,865)</w:t>
            </w:r>
          </w:p>
        </w:tc>
        <w:tc>
          <w:tcPr>
            <w:tcW w:w="0" w:type="dxa"/>
            <w:vAlign w:val="bottom"/>
          </w:tcPr>
          <w:p>
            <w:pPr>
              <w:spacing w:after="0"/>
              <w:rPr>
                <w:sz w:val="1"/>
                <w:szCs w:val="1"/>
                <w:color w:val="auto"/>
              </w:rPr>
            </w:pPr>
          </w:p>
        </w:tc>
      </w:tr>
      <w:tr>
        <w:trPr>
          <w:trHeight w:val="191"/>
        </w:trPr>
        <w:tc>
          <w:tcPr>
            <w:tcW w:w="47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43,305,59</w:t>
            </w: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Balance--January 31,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76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19</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(327,922)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-3145155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-3128010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-3145155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-3128010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-3145155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-3128010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-3145155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-3128010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-3145155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-3128010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-3145155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-3128010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-2150745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-2133600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-2150745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-2133600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-2150745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-2133600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-2150745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-2133600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-2150745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-2133600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-2150745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-2133600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-1156970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-1139190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-1156970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-1139190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-1156970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-1139190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-1156970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-1139190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-1156970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-1139190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-307975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-307975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-307975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-307975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-307975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(75,865)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(117,126)</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(169,417)</w:t>
            </w:r>
          </w:p>
        </w:tc>
      </w:tr>
      <w:tr>
        <w:trPr>
          <w:trHeight w:val="181"/>
        </w:trPr>
        <w:tc>
          <w:tcPr>
            <w:tcW w:w="6660" w:type="dxa"/>
            <w:vAlign w:val="bottom"/>
            <w:shd w:val="clear" w:color="auto" w:fill="CFF0FC"/>
          </w:tcPr>
          <w:p>
            <w:pPr>
              <w:ind w:left="120"/>
              <w:spacing w:after="0" w:line="181" w:lineRule="exact"/>
              <w:rPr>
                <w:sz w:val="20"/>
                <w:szCs w:val="20"/>
                <w:color w:val="auto"/>
              </w:rPr>
            </w:pPr>
            <w:r>
              <w:rPr>
                <w:rFonts w:ascii="Times New Roman" w:cs="Times New Roman" w:eastAsia="Times New Roman" w:hAnsi="Times New Roman"/>
                <w:sz w:val="17"/>
                <w:szCs w:val="17"/>
                <w:color w:val="auto"/>
              </w:rPr>
              <w:t>Adjustments to reconcile net loss to net cash provided by operating</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6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24,813</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(582)</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(1,154)</w:t>
            </w:r>
          </w:p>
        </w:tc>
      </w:tr>
      <w:tr>
        <w:trPr>
          <w:trHeight w:val="203"/>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107,803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111,316</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(119)</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19,042</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non-cash items,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(4,817)</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27,037</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Inventories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(17,897)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(5,213)</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11,443</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(961)</w:t>
            </w:r>
          </w:p>
        </w:tc>
      </w:tr>
      <w:tr>
        <w:trPr>
          <w:trHeight w:val="203"/>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(75)</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(9,581)</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10,658</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12,996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30,383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(6,660)</w:t>
            </w:r>
          </w:p>
        </w:tc>
      </w:tr>
      <w:tr>
        <w:trPr>
          <w:trHeight w:val="203"/>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Income taxes payable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(158)</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(2,571)</w:t>
            </w:r>
          </w:p>
        </w:tc>
      </w:tr>
      <w:tr>
        <w:trPr>
          <w:trHeight w:val="203"/>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Deferred revenue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8,167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13,332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(1,531)</w:t>
            </w:r>
          </w:p>
        </w:tc>
      </w:tr>
      <w:tr>
        <w:trPr>
          <w:trHeight w:val="203"/>
        </w:trPr>
        <w:tc>
          <w:tcPr>
            <w:tcW w:w="66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(2,220)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(3,800)</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(3,877)</w:t>
            </w:r>
          </w:p>
        </w:tc>
      </w:tr>
      <w:tr>
        <w:trPr>
          <w:trHeight w:val="203"/>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(2,916)</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(273)</w:t>
            </w:r>
          </w:p>
        </w:tc>
      </w:tr>
      <w:tr>
        <w:trPr>
          <w:trHeight w:val="196"/>
        </w:trPr>
        <w:tc>
          <w:tcPr>
            <w:tcW w:w="66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73,519</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33,836</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00" w:type="dxa"/>
            <w:vAlign w:val="bottom"/>
            <w:tcBorders>
              <w:top w:val="single" w:sz="8" w:color="CFF0FC"/>
            </w:tcBorders>
          </w:tcPr>
          <w:p>
            <w:pPr>
              <w:spacing w:after="0"/>
              <w:rPr>
                <w:sz w:val="17"/>
                <w:szCs w:val="17"/>
                <w:color w:val="auto"/>
              </w:rPr>
            </w:pPr>
          </w:p>
        </w:tc>
      </w:tr>
      <w:tr>
        <w:trPr>
          <w:trHeight w:val="19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Purchases of investments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(62,557)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(70,670)</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(34,178)</w:t>
            </w:r>
          </w:p>
        </w:tc>
      </w:tr>
      <w:tr>
        <w:trPr>
          <w:trHeight w:val="203"/>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Sales of investments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18,675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21,387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7,062</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46,935</w:t>
            </w:r>
          </w:p>
        </w:tc>
        <w:tc>
          <w:tcPr>
            <w:tcW w:w="100" w:type="dxa"/>
            <w:vAlign w:val="bottom"/>
          </w:tcPr>
          <w:p>
            <w:pPr>
              <w:spacing w:after="0"/>
              <w:rPr>
                <w:sz w:val="17"/>
                <w:szCs w:val="17"/>
                <w:color w:val="auto"/>
              </w:rPr>
            </w:pPr>
          </w:p>
        </w:tc>
      </w:tr>
      <w:tr>
        <w:trPr>
          <w:trHeight w:val="203"/>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(15,514)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(10,381)</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(11,977)</w:t>
            </w:r>
          </w:p>
        </w:tc>
      </w:tr>
      <w:tr>
        <w:trPr>
          <w:trHeight w:val="20"/>
        </w:trPr>
        <w:tc>
          <w:tcPr>
            <w:tcW w:w="6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(30,494)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(40,526)</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7,842</w:t>
            </w:r>
          </w:p>
        </w:tc>
        <w:tc>
          <w:tcPr>
            <w:tcW w:w="100" w:type="dxa"/>
            <w:vAlign w:val="bottom"/>
          </w:tcPr>
          <w:p>
            <w:pPr>
              <w:spacing w:after="0"/>
              <w:rPr>
                <w:sz w:val="17"/>
                <w:szCs w:val="17"/>
                <w:color w:val="auto"/>
              </w:rPr>
            </w:pPr>
          </w:p>
        </w:tc>
      </w:tr>
      <w:tr>
        <w:trPr>
          <w:trHeight w:val="19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repurchase</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10,963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13,525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10,536</w:t>
            </w: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(6,156)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(7,127)</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(6,030)</w:t>
            </w:r>
          </w:p>
        </w:tc>
      </w:tr>
      <w:tr>
        <w:trPr>
          <w:trHeight w:val="196"/>
        </w:trPr>
        <w:tc>
          <w:tcPr>
            <w:tcW w:w="66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3,807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6,398</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(292)</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31,372</w:t>
            </w:r>
          </w:p>
        </w:tc>
        <w:tc>
          <w:tcPr>
            <w:tcW w:w="100" w:type="dxa"/>
            <w:vAlign w:val="bottom"/>
          </w:tcPr>
          <w:p>
            <w:pPr>
              <w:spacing w:after="0"/>
              <w:rPr>
                <w:sz w:val="17"/>
                <w:szCs w:val="17"/>
                <w:color w:val="auto"/>
              </w:rPr>
            </w:pPr>
          </w:p>
        </w:tc>
      </w:tr>
      <w:tr>
        <w:trPr>
          <w:trHeight w:val="203"/>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144,629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144,921</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113,549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191,461</w:t>
            </w:r>
          </w:p>
        </w:tc>
        <w:tc>
          <w:tcPr>
            <w:tcW w:w="10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144,629</w:t>
            </w:r>
          </w:p>
        </w:tc>
        <w:tc>
          <w:tcPr>
            <w:tcW w:w="24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144,921</w:t>
            </w:r>
          </w:p>
        </w:tc>
        <w:tc>
          <w:tcPr>
            <w:tcW w:w="10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6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10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24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7,112</w:t>
            </w:r>
          </w:p>
        </w:tc>
        <w:tc>
          <w:tcPr>
            <w:tcW w:w="10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6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23,716</w:t>
            </w:r>
          </w:p>
        </w:tc>
        <w:tc>
          <w:tcPr>
            <w:tcW w:w="10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4,213</w:t>
            </w:r>
          </w:p>
        </w:tc>
        <w:tc>
          <w:tcPr>
            <w:tcW w:w="24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6,880</w:t>
            </w:r>
          </w:p>
        </w:tc>
        <w:tc>
          <w:tcPr>
            <w:tcW w:w="10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-2588260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-2588260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-1799590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-1799590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-993775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-993775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-728345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-728345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20" w:right="6260" w:hanging="512"/>
        <w:spacing w:after="0" w:line="377" w:lineRule="auto"/>
        <w:tabs>
          <w:tab w:leader="none" w:pos="19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Summary of Significant Accounting Policies </w:t>
      </w:r>
      <w:r>
        <w:rPr>
          <w:rFonts w:ascii="Times New Roman" w:cs="Times New Roman" w:eastAsia="Times New Roman" w:hAnsi="Times New Roman"/>
          <w:sz w:val="18"/>
          <w:szCs w:val="18"/>
          <w:b w:val="1"/>
          <w:bCs w:val="1"/>
          <w:i w:val="1"/>
          <w:iCs w:val="1"/>
          <w:color w:val="auto"/>
        </w:rPr>
        <w:t>Organization</w:t>
      </w:r>
    </w:p>
    <w:p>
      <w:pPr>
        <w:spacing w:after="0" w:line="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system-on-a-chip, or SoC, semiconductors and software for edge and physical artificial intelligence, or AI, applications and intelligent automation. The Company's technologies make electronic systems smarter, enabling them to become partially or fully autonomous with features such as intelligent automation, complex scene understanding, and autonomous decision-making. These systems perform multi-modal data fusion and complex data analysis in real time, delivering high quality imagery, and preserving vital system resources such as power and network bandwidth. The Company specializes in the development of deployable, scalable designs for intelligent electronic systems that utilize high-bandwidth sensors offering a proven path to mass production. The Company’s products are used in a wide variety of human viewing, computer vision and edge and physical AI applications, including a variety of automotive camera systems, video security cameras, fixed robots, autonomous mobile robots (AMRs), industrial applications, intelligent transportation systems, and consumer devices, such as action, drone and 360° cameras.</w:t>
      </w:r>
    </w:p>
    <w:p>
      <w:pPr>
        <w:spacing w:after="0" w:line="29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consolidated financial statements of the Company and its subsidiaries have been prepared in conformity with U.S. GAAP. All intercompany transactions and balances have been eliminated upon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7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an ongoing basis, management evaluates its estimates and assumptions, including those related to (i) write downs of excess and obsolete inventories; (ii) the estimated useful lives of long-lived assets; (iii) the valuation of stock-based compensation awards; (iv) the realization of tax assets and estimates of tax liabilities, including reserves for uncertain tax positions and recognition or release of valuation allowance on deferred tax assets. These estimates and assumptions are based on historical experience and on various other factors which the Company believes to be reasonable under the circumstances. The Company may engage third-party valuation specialists to assist with estimates related to the valuation of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28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WT Microelectronics Co., Ltd., formerly Wintech Microelectronics Co., Ltd., or WT, which serves as its non-exclusive sales representative and fulfillment partner in Asia other than Japan, and to one ODM, Chicony Electronics Co., Ltd., or Chicony, which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16 for additional information regarding revenue and credit concentration with these customers.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5" w:name="page76"/>
    <w:bookmarkEnd w:id="75"/>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fixed deposits,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for the Company and its subsidiaries. Monetary assets and liabilities denominated in non-U.S. currencies are re-measured to U.S. dollars using current exchange rates in effect at the balance sheet date. Nonmonetary assets and liabilities are re-measured to U.S. dollars using historical exchange rates. Monetary and other accounts are re-measured to U.S. dollars using average exchange rates in effect during each period. Gains or losses from foreign currency re-measurement are included in other income, net in the consolidated statements of operations, and, to date, have not been material.</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Fair value accounting is applied to all financial assets and liabilities and non-financial assets and liabilities that are recognized or disclosed in the financial statements on a recurring basis. The carrying amounts reflected in the consolidated balance sheets for cash equivalents, accounts receivable, accounts payable, accrued liabilities and other current liabilities, approximate fair value due to the short-term nature.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Marketable Debt Securities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into cash and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 cash equivalents and marketable debt security investments as “available-for-sale” (AFS) securities.</w:t>
      </w:r>
    </w:p>
    <w:p>
      <w:pPr>
        <w:spacing w:after="0" w:line="1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Company estimates an expected loss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consolidated statements of operations but is limited to the difference between the fair value and the amortized cost basis of the security, adjusted for accrued interest. The non-credit-related portion of the loss is recognized in accumulated other comprehensive income (loss) in the consolidated balance sheets.</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fair value of money market funds and fixed deposits using quoted prices in active markets for identical assets and classifies them within Level 1. The fair value of the Company’s investments in other debt securities is obtained based on quoted prices for similar asserts in active markets, or model driven valuations using significant inputs derived from or corroborated by observable market data and is classified within Level 2. The Company does not have any investments classified within Level 3.</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6" w:name="page77"/>
    <w:bookmarkEnd w:id="7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first quarter of fiscal year 2026, the Company entered into a Letter of Credit of approximately $0.4 million with a financial institution as collateral for the security deposit on its new office lease located in Santa Clara, California. Refer to Note 8 Leases for detailed lease information. The Letter of Credit is irrevocable for one year, during which the Company has the obligation to maintain the full amount of the Letter of Credit. The restricted cash also includes those amounts required to be set aside to secure certain transactions in a foreign entity. The following table presents cash, cash equivalents and restricted cash reported on the consolidated balance sheets, and the sums are presented on the consolidated statements of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56"/>
        </w:trPr>
        <w:tc>
          <w:tcPr>
            <w:tcW w:w="5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191,019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30"/>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as presented in the consolidated statements of cash flows</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191,461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144,629</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144,921</w:t>
            </w:r>
          </w:p>
        </w:tc>
        <w:tc>
          <w:tcPr>
            <w:tcW w:w="100" w:type="dxa"/>
            <w:vAlign w:val="bottom"/>
            <w:shd w:val="clear" w:color="auto" w:fill="CFF0FC"/>
          </w:tcPr>
          <w:p>
            <w:pPr>
              <w:spacing w:after="0"/>
              <w:rPr>
                <w:sz w:val="19"/>
                <w:szCs w:val="19"/>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-24765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Company’s accounts receivables are recorded at invoiced amounts less allowance for any credit losses. In arrangements where revenue recognition occurs in advance of invoicing, an unbilled receivable is recorded, less allowance for any credit losses, within accounts receivable, when collection of these unbilled amounts are conditional only on the passage of time. The Company recognizes credit losses based on a forward-looking current expected credit losses (CECL). The Company makes estimates of expected credit losses based upon its assessment of various factors, including historical collection experience, the age of accounts receivable balances, credit quality of its customers, current economic conditions, reasonable and supportable forecasts of future economic conditions, and other factors that may affect its ability to collect from customers. The changes in allowance for credit losses are recognized in the consolidated statement of operations. The uncollectible accounts receivables are written off in the period in which a determination is made that all commercially reasonable means of recovering them have been exhausted. There were no material credit losses or write-offs of accounts receivable for the fiscal years ended January 31, 2026, 2025 and 2024, respectively. There was no material allowance recorded as of January 31, 2026 and 2025, respectively.</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and depreciated using the straight-line method over the estimated useful life for computer equipment, computer software, machinery, equipment and furniture and fixtures. Leasehold improvements are amortized over the shorter of the lease term or their estimated useful lives. Repairs and maintenance are charged to expense as incurred.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intangible assets primarily consist of software licenses as well as developed technology, customer relationships and trade name that were acquired from business combinations. The intangible asset acquired from a business combination is amortized over its estimated useful life.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a noncancelable on-premise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 The internal-use software license is amortized over its license term.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7" w:name="page78"/>
    <w:bookmarkEnd w:id="77"/>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expenses the cost of purchased software that is to be sold, leased or otherwise marketed as part of a product until the technological feasibility of the product has been established. Once the technological feasibility of the product, to be externally marketed, has been established or where the software has an alternative future use, the Company capitalizes the cost of the purchased software until the associated product is available for general release to customers, at which point the capitalized cost is amortized on a product-by-product basis over the remaining estimated economic life of the product.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the Accounting Standards Codification (ASC) Topic 842, Leases,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asset and liability calculation if it is reasonably certain that the Company will exercise the option. The Company's finance leases were immaterial as of January 31, 2026 and 2025, respectively.</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Company does not amortize goodwill. The Company tests goodwill for impairment at least annually in the fourth fiscal quarter, or sooner whenever events or changes in circumstances indicate that the asset may be impaired. There is only one single reporting unit for goodwill impairment test purposes based on the Company’s business and reporting structure. The Company is permitted to first assess qualitative factors to determine whether the two step goodwill impairment test is necessary. Further testing is only required if the Company determines, based on the qualitative assessment, that it is more likely than not that the reporting unit’s fair value is less than its carrying amount. Otherwise, no further impairment testing is required. Qualitative factors include industry and market considerations, overall financial performance, and other relevant events and factors affecting the reporting unit</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No goodwill impairment has been identified to date based on the Company’s qualitative factors assessment.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Excluding Goodwill</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reviews property and equipment and intangible assets, excluding goodwill, for impairment at least annually in the fourth fiscal quarter or whenever events or changes in circumstances indicate that the carrying amount of an asset, or asset group, may not be recoverable. Determination of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for the amount by which the carrying amount of the asset or asset group exceeds the estimated fair value of the asset or asset group. Fair value is determined based on the estimated discounted future cash flows expected to be generated by the asset or asset group. Events or changes in circumstances that may indicate that an asset is impaired include significant decreases in the market value of an asset, significant underperformance relative to expected historical or projected future results of operations, a change in the extent or manner in which an asset is utilized, significant declines in the estimated fair value of the overall Company for a sustained period, shifts in technology, loss of key management or personnel, changes in the Company’s operating model or strategy and competitive forces. There has been no occurrence of events or indications to date that would trigger an impairment. As such, no impairment charge has been recognized as of January 31, 2026.</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its investments in privately held companies as equity investments and reports the investments in other non-current assets in the consolidated balance sheets. The Company chooses to measure these equity investments that do not have readily determinable fair value at cost minus any recorded impairments, adjusted for subsequent observable price changes in transactions for an identical or similar investment of the same issuers. Upon determining that an impairment or observable price change exists, the Company records any adjustment to the fair value of the investment through other income, net in the consolidated statements of operations. There were no significant changes in the fair value of the investments and the Company did not recognize significant impairment losses related to the investments in the fiscal years ended January 31, 2026 and 2025, respectively. There was approximately $1.2 million of impairment recognized in the fiscal year ended January 31,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For a limited number of contracts that include volume-based tiered pricing,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9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Company also enters into various project service agreements with certain customers, including development funding agreements subject to certain refund conditions. In determining whether a development funding agreement constitutes a contract with a customer, the Company assesses whether the substantive and genuine financial risk has been transferred to the funding party and whether the services provided to the funding party are an output of the Company's ordinary activities in exchange for consideration.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its SoC into the customer’s product. Accordingly, the Company determines that they are not separately identifiable and shall be treated as a single performance obligation. For project service contracts containing variable consideration, the Company estimates variable consideration using the most likely amount method which the Company believes better predicts the amount of consideration to which the Company expects to be entitled. Variable consideration is included in the transaction price only to the extent that it is probable that a significant reversal of cumulative revenue recognized will not occur, in accordance with the variable consideration constraint. The Company recognizes revenue on project service contracts either over time as services are provided using an input method based on contract costs incurred to date compared to total estimated contract cost, or at a point in time upon completion and acceptance by the customer, depending on the terms of the arrangement. For project service contracts that are billed at a fixed rate for each hour of service provided, the Company recognizes revenue in the amount for which the Company has the right to invoice as the Company believes the amount invoiced directly corresponds with the value to the customer of its performance completed to date.</w:t>
      </w:r>
    </w:p>
    <w:p>
      <w:pPr>
        <w:spacing w:after="0" w:line="88"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the Company’s customers. The Company records contract assets when revenue is recognized prior to invoicing. The Company’s contract assets are primarily related to the satisfied but unbilled performance obligations associated with project service agreements at the reporting date. As of January 31, 2026 and 2025, the contract assets for these unbilled receivables were not material, respectively. The Company’s contract liabilities consist of deferred revenue. The deferred revenue is primarily related to the nonrecurring engineering charges that are either invoiced or paid but performance obligations are not satisfied, as well as the portion of a transaction price that exceeds the weighted average selling price for products sold to date under tiered-pricing contracts that contain material rights. The deferred revenue is expected to be recognized over the period when performance obligations are satisfied associated with project service agreements, or over the course of the contract when products are delivered for future pricing below the weighted average selling price of the contract. The Company elects not to disclose the value of unsatisfied or partially unsatisfied performance obligations for contracts with original expected contract duration of one year or less, and elects to exclude amounts collected from customers for all sales taxes from the transaction price.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9" w:name="page80"/>
    <w:bookmarkEnd w:id="7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commitments, allocation of facility costs, amortization of developed technology and software licenses, warranty and other general overhead costs.</w:t>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costs, product development costs, outside services, costs of development for software and hardware tools, costs and amortization of licensing intellectual property from third parties for product development, costs of fabrication of masks for prototype products, equipment expenses, depreciation of equipment and tools and allocation of facility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of personnel costs, travel and trade show costs, legal expenses, amortization of trade name and customer relationships, professional services and occupancy costs. Advertising expenses were not material for the fiscal years ended January 31, 2026, 2025 and 2024,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measures stock-based compensation for equity awards based on the estimated fair value on the grant date, and recognizes that compensation as expense using the straight-line attribution method over the requisite service period, which is typically the vesting period of each award. The Company determines the fair value of restricted stock units with service conditions based on the fair market value of its ordinary shares on the grant date. The Company uses the Lattice pricing model and performs Monte Carlo Simulation to evaluate the fair value of restricted stock units with market conditions. The Company also uses the Black-Scholes option pricing model to determine the fair value of shares to be issued under its employee stock purchase plan, or ESPP, at the commencement of an offering period. The Company elects to account for forfeitures as they occur.</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7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consolidated statements of operations for the periods in which the adjustment is determined to be required.</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80" w:name="page81"/>
    <w:bookmarkEnd w:id="8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ESPP and unvested restricted stock units. The dilutive effect of potentially dilutive securities is reflected in diluted earnings (losses) per share by application of the treasury stock method.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Comprehensive loss includes unrealized gains or losses from available-for-sale securities that are excluded from net loss.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This new guidance requires additional disclosures related to effective tax rate reconciliation,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and other modified income tax-related disclosures. The ASU shall be applied on a prospective basis with retrospective application permitted, and is effective for fiscal years beginning after December 15, 2024. Early adoption is permitted. The Company adopted this new guidance on a prospective basis in fiscal year 2026. There was no material impact on its consolidated financial statements from the adoption of this new guidance. Refer to Note 14 Income Taxes for further information.</w:t>
      </w:r>
    </w:p>
    <w:p>
      <w:pPr>
        <w:spacing w:after="0" w:line="18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 Update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w:t>
      </w:r>
      <w:r>
        <w:rPr>
          <w:rFonts w:ascii="Times New Roman" w:cs="Times New Roman" w:eastAsia="Times New Roman" w:hAnsi="Times New Roman"/>
          <w:sz w:val="18"/>
          <w:szCs w:val="18"/>
          <w:color w:val="auto"/>
        </w:rPr>
        <w:t>. This new guidance requires public entities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disclosures, in the notes to the financial statements, of certain categories of expenses that are included in expense line items on the face of income statement. The ASU may be applied prospectively or retrospectively and is effective for fiscal years beginning after December 15, 2026 and for interim periods beginning after December 15, 2027. Early adoption is permitted. The Company is currently evaluating the impact of adoption of this new guidance on its consolidated financial statements and disclosures.</w:t>
      </w:r>
    </w:p>
    <w:p>
      <w:pPr>
        <w:spacing w:after="0" w:line="18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new guidance simplifies the estimation of credit losses on current accounts receivable and current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from transactions accounted for under Accounting Standard Codification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and allows all entities to elect a practical expedient to assume that the current conditions as of the balance sheet date will remain unchanged for the remaining life of the asset when developing a reasonable and supportable forecast as part of estimating expected credit losses on these assets. The new guidance is effective for fiscal years beginning after December 15, 2025, and interim periods within those fiscal years. Early adoption is permitted. The Company is currently evaluating the impact of adoption of this new guidance on its consolidated financial statements and disclosures.</w:t>
      </w:r>
    </w:p>
    <w:p>
      <w:pPr>
        <w:spacing w:after="0" w:line="1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 of Software Costs</w:t>
      </w:r>
      <w:r>
        <w:rPr>
          <w:rFonts w:ascii="Times New Roman" w:cs="Times New Roman" w:eastAsia="Times New Roman" w:hAnsi="Times New Roman"/>
          <w:sz w:val="18"/>
          <w:szCs w:val="18"/>
          <w:color w:val="auto"/>
        </w:rPr>
        <w:t>. This new guidance removes all references to project stages throughout ASC 350-40 and clarifies the threshold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begin capitalizing costs. The new guidance also specifies that the disclosures under ASC 360-10</w:t>
      </w:r>
      <w:r>
        <w:rPr>
          <w:rFonts w:ascii="Times New Roman" w:cs="Times New Roman" w:eastAsia="Times New Roman" w:hAnsi="Times New Roman"/>
          <w:sz w:val="18"/>
          <w:szCs w:val="18"/>
          <w:i w:val="1"/>
          <w:iCs w:val="1"/>
          <w:color w:val="auto"/>
        </w:rPr>
        <w:t>, Property, Plant, and Equipment — Overall</w:t>
      </w:r>
      <w:r>
        <w:rPr>
          <w:rFonts w:ascii="Times New Roman" w:cs="Times New Roman" w:eastAsia="Times New Roman" w:hAnsi="Times New Roman"/>
          <w:sz w:val="18"/>
          <w:szCs w:val="18"/>
          <w:color w:val="auto"/>
        </w:rPr>
        <w:t xml:space="preserve"> apply to capitalized software costs accounted for under </w:t>
      </w:r>
      <w:r>
        <w:rPr>
          <w:rFonts w:ascii="Times New Roman" w:cs="Times New Roman" w:eastAsia="Times New Roman" w:hAnsi="Times New Roman"/>
          <w:sz w:val="18"/>
          <w:szCs w:val="18"/>
          <w:i w:val="1"/>
          <w:iCs w:val="1"/>
          <w:color w:val="auto"/>
        </w:rPr>
        <w:t>Subtopic 350-40</w:t>
      </w:r>
      <w:r>
        <w:rPr>
          <w:rFonts w:ascii="Times New Roman" w:cs="Times New Roman" w:eastAsia="Times New Roman" w:hAnsi="Times New Roman"/>
          <w:sz w:val="18"/>
          <w:szCs w:val="18"/>
          <w:color w:val="auto"/>
        </w:rPr>
        <w:t>, regardless of how those costs are presented in the financial statements. The new guidance may be applied using a prospective, retrospective or modified transition approach, and it is effective for fiscal years beginning after December 15, 2027 and interim periods within those fiscal years. Early adoption is permitted. The Company early adopted this new guidance using a prospective transition approach and there was no material impact on its consolidated financial statements and disclosures.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money market funds, fixed deposits and marketable debt securities that are denominated in United States dollars. The marketable debt security portfolio consists of corporate bonds, asset-backed securities and U.S. government securities. All of the investments are classified as available-for-sale securities and reported at fair value in the consolidated balance sheets as follows: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funds and fixed deposits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Asset-backed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government securities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As of January 31, 2026</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right"/>
              <w:ind w:right="53"/>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16"/>
        </w:trPr>
        <w:tc>
          <w:tcPr>
            <w:tcW w:w="3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70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64,157</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21,442</w:t>
            </w: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35,814</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35,953</w:t>
            </w:r>
          </w:p>
        </w:tc>
      </w:tr>
      <w:tr>
        <w:trPr>
          <w:trHeight w:val="210"/>
        </w:trPr>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181,979</w:t>
            </w:r>
          </w:p>
        </w:tc>
        <w:tc>
          <w:tcPr>
            <w:tcW w:w="2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182,552</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-719455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-445135</wp:posOffset>
            </wp:positionV>
            <wp:extent cx="71323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-161925</wp:posOffset>
            </wp:positionV>
            <wp:extent cx="713232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As of January 31, 2025</w:t>
      </w:r>
    </w:p>
    <w:p>
      <w:pPr>
        <w:spacing w:after="0" w:line="12" w:lineRule="exact"/>
        <w:rPr>
          <w:sz w:val="20"/>
          <w:szCs w:val="20"/>
          <w:color w:val="auto"/>
        </w:rPr>
      </w:pPr>
    </w:p>
    <w:p>
      <w:pPr>
        <w:sectPr>
          <w:pgSz w:w="11900" w:h="16838" w:orient="portrait"/>
          <w:cols w:equalWidth="0" w:num="2">
            <w:col w:w="5100" w:space="720"/>
            <w:col w:w="5420"/>
          </w:cols>
          <w:pgMar w:left="320" w:top="1008"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1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r>
      <w:tr>
        <w:trPr>
          <w:trHeight w:val="124"/>
        </w:trPr>
        <w:tc>
          <w:tcPr>
            <w:tcW w:w="5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right"/>
              <w:ind w:right="53"/>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and fixed deposits (*)</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48,398</w:t>
            </w:r>
          </w:p>
        </w:tc>
        <w:tc>
          <w:tcPr>
            <w:tcW w:w="70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48,398</w:t>
            </w:r>
          </w:p>
        </w:tc>
        <w:tc>
          <w:tcPr>
            <w:tcW w:w="120" w:type="dxa"/>
            <w:vAlign w:val="bottom"/>
          </w:tcPr>
          <w:p>
            <w:pPr>
              <w:spacing w:after="0"/>
              <w:rPr>
                <w:sz w:val="20"/>
                <w:szCs w:val="20"/>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55,138</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30,326</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154,274</w:t>
            </w:r>
          </w:p>
        </w:tc>
        <w:tc>
          <w:tcPr>
            <w:tcW w:w="2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154,041</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breakdown of unrealized losses as of January 31, 2026 and 2025, respectively, aggregated by investment category and length of time that individual securities have been in a continuous loss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ind w:left="9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59"/>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3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6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4"/>
        </w:trPr>
        <w:tc>
          <w:tcPr>
            <w:tcW w:w="3280" w:type="dxa"/>
            <w:vAlign w:val="bottom"/>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4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660" w:type="dxa"/>
            <w:vAlign w:val="bottom"/>
            <w:gridSpan w:val="2"/>
            <w:vMerge w:val="continue"/>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ind w:left="9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9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62,928</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94"/>
        </w:trPr>
        <w:tc>
          <w:tcPr>
            <w:tcW w:w="32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-1353820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-1336675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-1353820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-1336675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-1353820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-1336675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-1353820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-1336675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-1353820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-1336675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-1336675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-281940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-281940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-281940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-281940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-281940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82" w:name="page83"/>
    <w:bookmarkEnd w:id="82"/>
    <w:tbl>
      <w:tblPr>
        <w:tblLayout w:type="fixed"/>
        <w:tblInd w:w="520" w:type="dxa"/>
        <w:tblCellMar>
          <w:top w:w="0" w:type="dxa"/>
          <w:left w:w="0" w:type="dxa"/>
          <w:bottom w:w="0" w:type="dxa"/>
          <w:right w:w="0" w:type="dxa"/>
        </w:tblCellMar>
      </w:tblPr>
      <w:tr>
        <w:trPr>
          <w:trHeight w:val="173"/>
        </w:trPr>
        <w:tc>
          <w:tcPr>
            <w:tcW w:w="17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0" w:type="dxa"/>
            <w:vAlign w:val="bottom"/>
            <w:tcBorders>
              <w:bottom w:val="single" w:sz="8" w:color="auto"/>
            </w:tcBorders>
          </w:tcPr>
          <w:p>
            <w:pPr>
              <w:spacing w:after="0"/>
              <w:rPr>
                <w:sz w:val="15"/>
                <w:szCs w:val="15"/>
                <w:color w:val="auto"/>
              </w:rPr>
            </w:pPr>
          </w:p>
        </w:tc>
      </w:tr>
      <w:tr>
        <w:trPr>
          <w:trHeight w:val="117"/>
        </w:trPr>
        <w:tc>
          <w:tcPr>
            <w:tcW w:w="17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r>
      <w:tr>
        <w:trPr>
          <w:trHeight w:val="173"/>
        </w:trPr>
        <w:tc>
          <w:tcPr>
            <w:tcW w:w="17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56"/>
        </w:trPr>
        <w:tc>
          <w:tcPr>
            <w:tcW w:w="17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3"/>
          </w:tcPr>
          <w:p>
            <w:pPr>
              <w:jc w:val="right"/>
              <w:ind w:right="737"/>
              <w:spacing w:after="0"/>
              <w:rPr>
                <w:sz w:val="20"/>
                <w:szCs w:val="20"/>
                <w:color w:val="auto"/>
              </w:rPr>
            </w:pPr>
            <w:r>
              <w:rPr>
                <w:rFonts w:ascii="Times New Roman" w:cs="Times New Roman" w:eastAsia="Times New Roman" w:hAnsi="Times New Roman"/>
                <w:sz w:val="13"/>
                <w:szCs w:val="13"/>
                <w:b w:val="1"/>
                <w:bCs w:val="1"/>
                <w:color w:val="auto"/>
                <w:w w:val="72"/>
              </w:rPr>
              <w:t>thousands)</w:t>
            </w:r>
          </w:p>
        </w:tc>
      </w:tr>
      <w:tr>
        <w:trPr>
          <w:trHeight w:val="216"/>
        </w:trPr>
        <w:tc>
          <w:tcPr>
            <w:tcW w:w="174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 (*)</w:t>
            </w:r>
          </w:p>
        </w:tc>
        <w:tc>
          <w:tcPr>
            <w:tcW w:w="18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61,000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48,398</w:t>
            </w:r>
          </w:p>
        </w:tc>
      </w:tr>
      <w:tr>
        <w:trPr>
          <w:trHeight w:val="216"/>
        </w:trPr>
        <w:tc>
          <w:tcPr>
            <w:tcW w:w="17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121,552</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105,643</w:t>
            </w:r>
          </w:p>
        </w:tc>
      </w:tr>
      <w:tr>
        <w:trPr>
          <w:trHeight w:val="230"/>
        </w:trPr>
        <w:tc>
          <w:tcPr>
            <w:tcW w:w="1740" w:type="dxa"/>
            <w:vAlign w:val="bottom"/>
          </w:tcPr>
          <w:p>
            <w:pPr>
              <w:spacing w:after="0"/>
              <w:rPr>
                <w:sz w:val="19"/>
                <w:szCs w:val="19"/>
                <w:color w:val="auto"/>
              </w:rPr>
            </w:pPr>
          </w:p>
        </w:tc>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8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182,552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154,041</w:t>
            </w:r>
          </w:p>
        </w:tc>
      </w:tr>
      <w:tr>
        <w:trPr>
          <w:trHeight w:val="20"/>
        </w:trPr>
        <w:tc>
          <w:tcPr>
            <w:tcW w:w="1740" w:type="dxa"/>
            <w:vAlign w:val="bottom"/>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FF0FC"/>
            </w:tcBorders>
            <w:shd w:val="clear" w:color="auto" w:fill="000000"/>
          </w:tcPr>
          <w:p>
            <w:pPr>
              <w:spacing w:after="0" w:line="20" w:lineRule="exact"/>
              <w:rPr>
                <w:sz w:val="1"/>
                <w:szCs w:val="1"/>
                <w:color w:val="auto"/>
              </w:rPr>
            </w:pPr>
          </w:p>
        </w:tc>
      </w:tr>
      <w:tr>
        <w:trPr>
          <w:trHeight w:val="413"/>
        </w:trPr>
        <w:tc>
          <w:tcPr>
            <w:tcW w:w="72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w w:val="99"/>
              </w:rPr>
              <w:t>The contractual maturities of the investments at January 31, 2026 and 2025 were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4"/>
        </w:trPr>
        <w:tc>
          <w:tcPr>
            <w:tcW w:w="1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left="7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0" w:type="dxa"/>
            <w:vAlign w:val="bottom"/>
            <w:tcBorders>
              <w:bottom w:val="single" w:sz="8" w:color="auto"/>
            </w:tcBorders>
          </w:tcPr>
          <w:p>
            <w:pPr>
              <w:spacing w:after="0"/>
              <w:rPr>
                <w:sz w:val="24"/>
                <w:szCs w:val="24"/>
                <w:color w:val="auto"/>
              </w:rPr>
            </w:pPr>
          </w:p>
        </w:tc>
      </w:tr>
      <w:tr>
        <w:trPr>
          <w:trHeight w:val="117"/>
        </w:trPr>
        <w:tc>
          <w:tcPr>
            <w:tcW w:w="17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r>
      <w:tr>
        <w:trPr>
          <w:trHeight w:val="173"/>
        </w:trPr>
        <w:tc>
          <w:tcPr>
            <w:tcW w:w="17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17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4"/>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174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 (*)</w:t>
            </w:r>
          </w:p>
        </w:tc>
        <w:tc>
          <w:tcPr>
            <w:tcW w:w="18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84,844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79,954</w:t>
            </w:r>
          </w:p>
        </w:tc>
      </w:tr>
      <w:tr>
        <w:trPr>
          <w:trHeight w:val="216"/>
        </w:trPr>
        <w:tc>
          <w:tcPr>
            <w:tcW w:w="17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Due in 1 - 5 years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74,087</w:t>
            </w:r>
          </w:p>
        </w:tc>
      </w:tr>
      <w:tr>
        <w:trPr>
          <w:trHeight w:val="216"/>
        </w:trPr>
        <w:tc>
          <w:tcPr>
            <w:tcW w:w="174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5 - 10 years</w:t>
            </w:r>
          </w:p>
        </w:tc>
        <w:tc>
          <w:tcPr>
            <w:tcW w:w="100" w:type="dxa"/>
            <w:vAlign w:val="bottom"/>
            <w:tcBorders>
              <w:lef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Due in greater than 10 years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1740" w:type="dxa"/>
            <w:vAlign w:val="bottom"/>
          </w:tcPr>
          <w:p>
            <w:pPr>
              <w:spacing w:after="0"/>
              <w:rPr>
                <w:sz w:val="21"/>
                <w:szCs w:val="21"/>
                <w:color w:val="auto"/>
              </w:rPr>
            </w:pPr>
          </w:p>
        </w:tc>
        <w:tc>
          <w:tcPr>
            <w:tcW w:w="4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00" w:type="dxa"/>
            <w:vAlign w:val="bottom"/>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182,552</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-1593850</wp:posOffset>
            </wp:positionV>
            <wp:extent cx="431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-1576705</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-1593850</wp:posOffset>
            </wp:positionV>
            <wp:extent cx="43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-1576705</wp:posOffset>
            </wp:positionV>
            <wp:extent cx="43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431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The Company estimates the expected losses at an individual security level whenever a security’s fair value is below its amortized cost basis using the discounted cash flow method. The credit-related portion of the loss is recognized in other income, net in the consolidated statements of operations but is limited to the difference between the fair value and the amortized cost basis of the security, adjusted for accrued interest. The non-credit-related portion of the loss is recognized in accumulated other comprehensive income (loss) in the consolidated balance sheets. The credit-related losses were not material for the fiscal years ended January 31, 2026, 2025 and 2024, respectively. The accrued interest on available-for-sale securities is included in marketable debt securities in the consolidated balance sheets. As of January 31, 2026 and 2025, the accrued interest was approximately $1.0 million and $0.8 million, respectively.</w:t>
      </w:r>
    </w:p>
    <w:p>
      <w:pPr>
        <w:spacing w:after="0" w:line="19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the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and fixed deposits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0" w:right="379" w:bottom="1440" w:gutter="0" w:footer="0" w:header="0"/>
        </w:sectPr>
      </w:pPr>
    </w:p>
    <w:bookmarkStart w:id="83" w:name="page84"/>
    <w:bookmarkEnd w:id="83"/>
    <w:p>
      <w:pPr>
        <w:ind w:left="520"/>
        <w:spacing w:after="0"/>
        <w:rPr>
          <w:sz w:val="20"/>
          <w:szCs w:val="20"/>
          <w:color w:val="auto"/>
        </w:rPr>
      </w:pPr>
      <w:r>
        <w:rPr>
          <w:rFonts w:ascii="Times New Roman" w:cs="Times New Roman" w:eastAsia="Times New Roman" w:hAnsi="Times New Roman"/>
          <w:sz w:val="17"/>
          <w:szCs w:val="17"/>
          <w:color w:val="auto"/>
        </w:rPr>
        <w:t>The following tables present the fair value of the financial instruments measured on a recurring basis as of January 31, 2026 and 2025, respectively:</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and fixed deposits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42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r>
      <w:tr>
        <w:trPr>
          <w:trHeight w:val="249"/>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182,552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121,552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399"/>
        </w:trPr>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124"/>
        </w:trPr>
        <w:tc>
          <w:tcPr>
            <w:tcW w:w="5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77"/>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3"/>
              <w:spacing w:after="0" w:line="124"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and fixed deposits (*)</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48,398</w:t>
            </w:r>
          </w:p>
        </w:tc>
        <w:tc>
          <w:tcPr>
            <w:tcW w:w="42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48,398</w:t>
            </w:r>
          </w:p>
        </w:tc>
        <w:tc>
          <w:tcPr>
            <w:tcW w:w="42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-1216660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-1199515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-1216660</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-1199515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-1216660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-1199515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-1216660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-1199515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 Prior period amounts denoted with an asterisk throughout this footnote have been adjusted to include the amount of a money market fund investment that was excluded from amounts originally reported. There is no impact on previously reported total cash and cash equivalents.</w:t>
      </w:r>
    </w:p>
    <w:p>
      <w:pPr>
        <w:sectPr>
          <w:pgSz w:w="11900" w:h="16838" w:orient="portrait"/>
          <w:cols w:equalWidth="0" w:num="1">
            <w:col w:w="11160"/>
          </w:cols>
          <w:pgMar w:left="320" w:top="1228" w:right="41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Inventories at January 31, 2026 and 2025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3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Total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5259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40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15259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jc w:val="center"/>
        <w:ind w:right="1680"/>
        <w:spacing w:after="0" w:line="235"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tabs>
          <w:tab w:leader="none" w:pos="580" w:val="left"/>
          <w:tab w:leader="none" w:pos="1280" w:val="left"/>
          <w:tab w:leader="none" w:pos="1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35,507</w:t>
        <w:tab/>
        <w:t>$</w:t>
      </w:r>
      <w:r>
        <w:rPr>
          <w:sz w:val="20"/>
          <w:szCs w:val="20"/>
          <w:color w:val="auto"/>
        </w:rPr>
        <w:tab/>
      </w:r>
      <w:r>
        <w:rPr>
          <w:rFonts w:ascii="Times New Roman" w:cs="Times New Roman" w:eastAsia="Times New Roman" w:hAnsi="Times New Roman"/>
          <w:sz w:val="18"/>
          <w:szCs w:val="18"/>
          <w:color w:val="auto"/>
        </w:rPr>
        <w:t>20,546</w:t>
      </w:r>
    </w:p>
    <w:p>
      <w:pPr>
        <w:spacing w:after="0" w:line="7" w:lineRule="exact"/>
        <w:rPr>
          <w:sz w:val="20"/>
          <w:szCs w:val="20"/>
          <w:color w:val="auto"/>
        </w:rPr>
      </w:pPr>
    </w:p>
    <w:p>
      <w:pPr>
        <w:jc w:val="both"/>
        <w:ind w:left="600"/>
        <w:spacing w:after="0"/>
        <w:tabs>
          <w:tab w:leader="none" w:pos="1880" w:val="left"/>
        </w:tabs>
        <w:rPr>
          <w:sz w:val="20"/>
          <w:szCs w:val="20"/>
          <w:color w:val="auto"/>
        </w:rPr>
      </w:pPr>
      <w:r>
        <w:rPr>
          <w:rFonts w:ascii="Times New Roman" w:cs="Times New Roman" w:eastAsia="Times New Roman" w:hAnsi="Times New Roman"/>
          <w:sz w:val="18"/>
          <w:szCs w:val="18"/>
          <w:color w:val="auto"/>
        </w:rPr>
        <w:t>16,739</w:t>
      </w:r>
      <w:r>
        <w:rPr>
          <w:sz w:val="20"/>
          <w:szCs w:val="20"/>
          <w:color w:val="auto"/>
        </w:rPr>
        <w:tab/>
      </w:r>
      <w:r>
        <w:rPr>
          <w:rFonts w:ascii="Times New Roman" w:cs="Times New Roman" w:eastAsia="Times New Roman" w:hAnsi="Times New Roman"/>
          <w:sz w:val="18"/>
          <w:szCs w:val="18"/>
          <w:color w:val="auto"/>
        </w:rPr>
        <w:t>13,882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15259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tabs>
          <w:tab w:leader="none" w:pos="580" w:val="left"/>
          <w:tab w:leader="none" w:pos="1280" w:val="left"/>
          <w:tab w:leader="none" w:pos="1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52,246</w:t>
        <w:tab/>
        <w:t>$</w:t>
      </w:r>
      <w:r>
        <w:rPr>
          <w:sz w:val="20"/>
          <w:szCs w:val="20"/>
          <w:color w:val="auto"/>
        </w:rPr>
        <w:tab/>
      </w:r>
      <w:r>
        <w:rPr>
          <w:rFonts w:ascii="Times New Roman" w:cs="Times New Roman" w:eastAsia="Times New Roman" w:hAnsi="Times New Roman"/>
          <w:sz w:val="18"/>
          <w:szCs w:val="18"/>
          <w:color w:val="auto"/>
        </w:rPr>
        <w:t>34,428</w:t>
      </w:r>
    </w:p>
    <w:p>
      <w:pPr>
        <w:spacing w:after="0" w:line="571" w:lineRule="exact"/>
        <w:rPr>
          <w:sz w:val="20"/>
          <w:szCs w:val="20"/>
          <w:color w:val="auto"/>
        </w:rPr>
      </w:pPr>
    </w:p>
    <w:p>
      <w:pPr>
        <w:sectPr>
          <w:pgSz w:w="11900" w:h="16838" w:orient="portrait"/>
          <w:cols w:equalWidth="0" w:num="2">
            <w:col w:w="6360" w:space="720"/>
            <w:col w:w="4080"/>
          </w:cols>
          <w:pgMar w:left="320" w:top="1228" w:right="419" w:bottom="1440" w:gutter="0" w:footer="0" w:header="0"/>
          <w:type w:val="continuous"/>
        </w:sect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$4.8 million, $4.7 million and $4.8 million for the fiscal years ended January 31, 2026, 2025 and 2024, respectively. Property and equipment at January 31, 2026 and 2025 consisted of the following:</w:t>
      </w:r>
    </w:p>
    <w:p>
      <w:pPr>
        <w:sectPr>
          <w:pgSz w:w="11900" w:h="16838" w:orient="portrait"/>
          <w:cols w:equalWidth="0" w:num="1">
            <w:col w:w="11160"/>
          </w:cols>
          <w:pgMar w:left="320" w:top="122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Computer hardware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Tools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46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Construction in progress</w:t>
      </w:r>
    </w:p>
    <w:p>
      <w:pPr>
        <w:spacing w:after="0" w:line="234"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46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As of January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24"/>
        </w:trPr>
        <w:tc>
          <w:tcPr>
            <w:tcW w:w="240" w:type="dxa"/>
            <w:vAlign w:val="bottom"/>
          </w:tcPr>
          <w:p>
            <w:pPr>
              <w:spacing w:after="0"/>
              <w:rPr>
                <w:sz w:val="10"/>
                <w:szCs w:val="10"/>
                <w:color w:val="auto"/>
              </w:rPr>
            </w:pPr>
          </w:p>
        </w:tc>
        <w:tc>
          <w:tcPr>
            <w:tcW w:w="860" w:type="dxa"/>
            <w:vAlign w:val="bottom"/>
          </w:tcPr>
          <w:p>
            <w:pPr>
              <w:jc w:val="right"/>
              <w:ind w:right="94"/>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140" w:type="dxa"/>
            <w:vAlign w:val="bottom"/>
          </w:tcPr>
          <w:p>
            <w:pPr>
              <w:spacing w:after="0"/>
              <w:rPr>
                <w:sz w:val="18"/>
                <w:szCs w:val="18"/>
                <w:color w:val="auto"/>
              </w:rPr>
            </w:pPr>
          </w:p>
        </w:tc>
        <w:tc>
          <w:tcPr>
            <w:tcW w:w="4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60" w:type="dxa"/>
            <w:vAlign w:val="bottom"/>
          </w:tcPr>
          <w:p>
            <w:pPr>
              <w:spacing w:after="0"/>
              <w:rPr>
                <w:sz w:val="18"/>
                <w:szCs w:val="18"/>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tcPr>
          <w:p>
            <w:pPr>
              <w:spacing w:after="0"/>
              <w:rPr>
                <w:sz w:val="20"/>
                <w:szCs w:val="20"/>
                <w:color w:val="auto"/>
              </w:rPr>
            </w:pPr>
          </w:p>
        </w:tc>
      </w:tr>
      <w:tr>
        <w:trPr>
          <w:trHeight w:val="191"/>
        </w:trPr>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43,637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39,493</w:t>
            </w:r>
          </w:p>
        </w:tc>
        <w:tc>
          <w:tcPr>
            <w:tcW w:w="6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(32,084)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(30,409)</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6340" w:space="720"/>
            <w:col w:w="4100"/>
          </w:cols>
          <w:pgMar w:left="320" w:top="1228" w:right="419" w:bottom="1440" w:gutter="0" w:footer="0" w:header="0"/>
          <w:type w:val="continuous"/>
        </w:sect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software licenses as well as developed technology, customer relationships and trade name that were acquired from business combinations.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type w:val="continuous"/>
        </w:sectPr>
      </w:pPr>
    </w:p>
    <w:bookmarkStart w:id="84" w:name="page85"/>
    <w:bookmarkEnd w:id="84"/>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January 31, 2026, software license liabilities of approximate $11.4 million were recorded in accrued and other current liabilities and $12.8 million were recorded in other long-term liabilities in the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January 31, 2026 and 2025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7"/>
          </w:tcPr>
          <w:p>
            <w:pPr>
              <w:ind w:left="720"/>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00" w:type="dxa"/>
            <w:vAlign w:val="bottom"/>
            <w:gridSpan w:val="3"/>
          </w:tcPr>
          <w:p>
            <w:pPr>
              <w:jc w:val="center"/>
              <w:ind w:right="459"/>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51,194</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(9,279)</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41,915</w:t>
            </w:r>
          </w:p>
        </w:tc>
        <w:tc>
          <w:tcPr>
            <w:tcW w:w="320" w:type="dxa"/>
            <w:vAlign w:val="bottom"/>
            <w:gridSpan w:val="2"/>
            <w:shd w:val="clear" w:color="auto" w:fill="CFF0FC"/>
          </w:tcPr>
          <w:p>
            <w:pPr>
              <w:jc w:val="center"/>
              <w:ind w:left="1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45,051</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(18,755)</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(6,233)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88,094</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(30,048)</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58,046</w:t>
            </w:r>
          </w:p>
        </w:tc>
        <w:tc>
          <w:tcPr>
            <w:tcW w:w="320" w:type="dxa"/>
            <w:vAlign w:val="bottom"/>
            <w:gridSpan w:val="2"/>
            <w:shd w:val="clear" w:color="auto" w:fill="CFF0FC"/>
          </w:tcPr>
          <w:p>
            <w:pPr>
              <w:jc w:val="center"/>
              <w:ind w:left="1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81,951</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(34,672)</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-25400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554"/>
        <w:spacing w:after="0" w:line="254" w:lineRule="auto"/>
        <w:rPr>
          <w:sz w:val="20"/>
          <w:szCs w:val="20"/>
          <w:color w:val="auto"/>
        </w:rPr>
      </w:pPr>
      <w:r>
        <w:rPr>
          <w:rFonts w:ascii="Times New Roman" w:cs="Times New Roman" w:eastAsia="Times New Roman" w:hAnsi="Times New Roman"/>
          <w:sz w:val="18"/>
          <w:szCs w:val="18"/>
          <w:color w:val="auto"/>
        </w:rPr>
        <w:t>During the twelve months ended January 31, 2026, there were approximately $28.1 million of software licenses purchased and approximately $22.0 million of software licenses expired. The amortization expense associated with software licenses was approximately $12.3 million, $12.7 million and $11.5 million for the fiscal years ended January 31, 2026, 2025 and 2024, respectively. The amortization expense associated with acquisition-related intangible assets, including developed technology, customer relationship and trade name, was approximately $4.9 million, $4.9 million and $4.9 million for the fiscal years ended January 31, 2026, 2025 and 2024, respectively. As of January 31, 2026, the Company has not commenced amortization with respect to approximately $8.0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these intangible assets as of January 31, 2026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5"/>
                <w:szCs w:val="15"/>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128"/>
        </w:trPr>
        <w:tc>
          <w:tcPr>
            <w:tcW w:w="9240" w:type="dxa"/>
            <w:vAlign w:val="bottom"/>
            <w:gridSpan w:val="2"/>
            <w:vMerge w:val="continue"/>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0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85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8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8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8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2031</w:t>
            </w:r>
          </w:p>
        </w:tc>
        <w:tc>
          <w:tcPr>
            <w:tcW w:w="8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24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intangible asset impairments for the fiscal years ended January 31, 2026, 2025 and 2024,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in a business combination. The Company has one reporting segment and accordingly, there is no goodwill assignment based on reporting units (refer to Note 16 Segment Reporting). As of January 31, 2026 and 2025, the total carrying amount of goodwill was $303.6 million, respectively. The Company does not amortize goodwill. Goodwill is tested for impairment at least annually, in the fourth fiscal quarter, or more frequently if events or changes in circumstances indicate that it may be impaired. There was no goodwill impairment in the fiscal years ended January 31, 2026, 2025 and 2024,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7.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Accrued and other current liabilities at January 31, 2026 and 2025 consisted of the following:</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Accrued employee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Accrued product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Software license liabilities, current</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Development deposit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45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Other accrued liabilities</w:t>
      </w:r>
    </w:p>
    <w:p>
      <w:pPr>
        <w:spacing w:after="0" w:line="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Total accrued and other current liabilities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As of January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24"/>
        </w:trPr>
        <w:tc>
          <w:tcPr>
            <w:tcW w:w="240" w:type="dxa"/>
            <w:vAlign w:val="bottom"/>
          </w:tcPr>
          <w:p>
            <w:pPr>
              <w:spacing w:after="0"/>
              <w:rPr>
                <w:sz w:val="10"/>
                <w:szCs w:val="10"/>
                <w:color w:val="auto"/>
              </w:rPr>
            </w:pPr>
          </w:p>
        </w:tc>
        <w:tc>
          <w:tcPr>
            <w:tcW w:w="860" w:type="dxa"/>
            <w:vAlign w:val="bottom"/>
          </w:tcPr>
          <w:p>
            <w:pPr>
              <w:jc w:val="right"/>
              <w:ind w:right="95"/>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740" w:type="dxa"/>
            <w:vAlign w:val="bottom"/>
          </w:tcPr>
          <w:p>
            <w:pPr>
              <w:spacing w:after="0"/>
              <w:rPr>
                <w:sz w:val="10"/>
                <w:szCs w:val="10"/>
                <w:color w:val="auto"/>
              </w:rPr>
            </w:pPr>
          </w:p>
        </w:tc>
      </w:t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31,251</w:t>
            </w: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w:t>
            </w:r>
          </w:p>
        </w:tc>
      </w:tr>
      <w:tr>
        <w:trPr>
          <w:trHeight w:val="216"/>
        </w:trPr>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32,929</w:t>
            </w:r>
          </w:p>
        </w:tc>
      </w:tr>
      <w:tr>
        <w:trPr>
          <w:trHeight w:val="216"/>
        </w:trPr>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r>
      <w:tr>
        <w:trPr>
          <w:trHeight w:val="216"/>
        </w:trPr>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09"/>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97,964</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2">
            <w:col w:w="6360" w:space="720"/>
            <w:col w:w="4160"/>
          </w:cols>
          <w:pgMar w:left="320" w:top="1211" w:right="339" w:bottom="1440" w:gutter="0" w:footer="0" w:header="0"/>
          <w:type w:val="continuous"/>
        </w:sectPr>
      </w:pPr>
    </w:p>
    <w:p>
      <w:pPr>
        <w:ind w:right="20" w:firstLine="599"/>
        <w:spacing w:after="0" w:line="256" w:lineRule="auto"/>
        <w:rPr>
          <w:sz w:val="20"/>
          <w:szCs w:val="20"/>
          <w:color w:val="auto"/>
        </w:rPr>
      </w:pPr>
      <w:r>
        <w:rPr>
          <w:rFonts w:ascii="Times New Roman" w:cs="Times New Roman" w:eastAsia="Times New Roman" w:hAnsi="Times New Roman"/>
          <w:sz w:val="18"/>
          <w:szCs w:val="18"/>
          <w:color w:val="auto"/>
        </w:rPr>
        <w:t>The accrued employee compensation primarily consists of accrued payroll and accrued employee benefits, as well as employee stock purchase plan withholding. For the accrued employee compensation as of January 31, 2025, approximately $9.8 million of annual bonus was paid in fiscal year 2026, of which $3.7 million was paid in cash and $6.1 million was settled with fully vested restricted stock units. The timing of new and next-gen SoC development and invoicing from outside foundries usually results in fluctuation of accrued product development costs. The $13.5 million of development deposit liability as of January 31, 2026 and 2025, respectively, represents a cash advance from a customer for funding a development project that is subject to certain refund conditions.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lease obligations primarily consist of operating leases for the Company's headquarters and its foreign subsidiaries. In December 2024, the Company entered into a new office lease for its headquarters in Santa Clara, California with a term of 104 months from September 1, 2025 to April 30, 2034 and an option to extend for an additional five years. The lease commencement date was established on September 1, 2025. Accordingly, an operating lease ROU asset of approximately $10.0 million, net of $0.5 million of lease incentives and prepayments, and a corresponding $10.5 million lease liability was recorded in the consolidated balance sheets as of the lease commencement date. The optional lease term is not recognized as part of the ROU asset and lease liability.</w:t>
      </w:r>
    </w:p>
    <w:p>
      <w:pPr>
        <w:spacing w:after="0" w:line="187"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During the twelve months ended January 31, 2025, the Company extended certain facility leases for its international offices with lease periods expiring between fiscal years 2027 and 2031. An aggregate of approximately $3.6 million of additional operating lease ROU assets and corresponding lease liabilities were recorded in the consolidated balance sheets as a result of these lease extensions.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material lease agreements entered into or modified during the twelve months ended January 31, 2024.</w:t>
      </w:r>
    </w:p>
    <w:p>
      <w:pPr>
        <w:spacing w:after="0" w:line="225" w:lineRule="exact"/>
        <w:rPr>
          <w:sz w:val="20"/>
          <w:szCs w:val="20"/>
          <w:color w:val="auto"/>
        </w:rPr>
      </w:pPr>
    </w:p>
    <w:p>
      <w:pPr>
        <w:jc w:val="both"/>
        <w:ind w:right="400" w:firstLine="509"/>
        <w:spacing w:after="0" w:line="282" w:lineRule="auto"/>
        <w:rPr>
          <w:sz w:val="20"/>
          <w:szCs w:val="20"/>
          <w:color w:val="auto"/>
        </w:rPr>
      </w:pPr>
      <w:r>
        <w:rPr>
          <w:rFonts w:ascii="Times New Roman" w:cs="Times New Roman" w:eastAsia="Times New Roman" w:hAnsi="Times New Roman"/>
          <w:sz w:val="18"/>
          <w:szCs w:val="18"/>
          <w:color w:val="auto"/>
        </w:rPr>
        <w:t>For the fiscal years ended January 31, 2026, 2025 and 2024, the operating lease expense was approximately $3.6 million, $3.8 million and $3.7 million, respectively. The Company's short-term leases and finance leases were immaterial as of January 31, 2026 and 2025,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20" w:type="dxa"/>
            <w:vAlign w:val="bottom"/>
            <w:shd w:val="clear" w:color="auto" w:fill="CFF0FC"/>
          </w:tcPr>
          <w:p>
            <w:pPr>
              <w:spacing w:after="0"/>
              <w:rPr>
                <w:sz w:val="18"/>
                <w:szCs w:val="18"/>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lease obligations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24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2026, the weighted average remaining lease term is 7.0 years, and the weighted average discount rate is 8.04%. Future minimum lease payments for the lease liabilities are as follows: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128"/>
        </w:trPr>
        <w:tc>
          <w:tcPr>
            <w:tcW w:w="5640" w:type="dxa"/>
            <w:vAlign w:val="bottom"/>
            <w:gridSpan w:val="2"/>
            <w:vMerge w:val="continue"/>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780" w:type="dxa"/>
            <w:vAlign w:val="bottom"/>
            <w:tcBorders>
              <w:top w:val="single" w:sz="8" w:color="auto"/>
            </w:tcBorders>
          </w:tcPr>
          <w:p>
            <w:pPr>
              <w:jc w:val="center"/>
              <w:ind w:right="5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00" w:type="dxa"/>
            <w:vAlign w:val="bottom"/>
            <w:tcBorders>
              <w:top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940" w:type="dxa"/>
            <w:vAlign w:val="bottom"/>
            <w:shd w:val="clear" w:color="auto" w:fill="CFF0FC"/>
          </w:tcPr>
          <w:p>
            <w:pPr>
              <w:spacing w:after="0"/>
              <w:rPr>
                <w:sz w:val="18"/>
                <w:szCs w:val="18"/>
                <w:color w:val="auto"/>
              </w:rPr>
            </w:pPr>
          </w:p>
        </w:tc>
        <w:tc>
          <w:tcPr>
            <w:tcW w:w="272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494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4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2031</w:t>
            </w:r>
          </w:p>
        </w:tc>
        <w:tc>
          <w:tcPr>
            <w:tcW w:w="494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2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interest</w:t>
            </w:r>
          </w:p>
        </w:tc>
        <w:tc>
          <w:tcPr>
            <w:tcW w:w="2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(4,772)</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Revenue</w:t>
      </w:r>
    </w:p>
    <w:p>
      <w:pPr>
        <w:spacing w:after="0" w:line="22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Deferred revenue is primarily related to nonrecurring engineering charges that are either invoiced or paid but for which, the related performance obligations are not yet satisfied, as well as, for product shipments, a portion of the transaction price that exceeds the weighted average selling price for products sold to date under tiered-pricing contracts that contain material rights. During the twelve months ended January 31, 2026, 2025 and 2024, the amount recognized as revenue that was included in deferred revenue at the end of prior fiscal year was approximately $9.9 million, $0.8 million and $2.2 million, respectively.</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January 31, 2026, the amount of transaction price allocated to performance obligations that are unsatisfied, or partially unsatisfied, which primarily consists of NRE project service agreements and product purchase orders with original contract duration of more than one year, was approximately $76.1 million, of which approximately 97% is expected to be recognized within the next 12 months. This does not include consideration in contracts with an original expected contract duration of one year or less, or variable consideration that is constrained.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January 31, 2026 and 2025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60" w:type="dxa"/>
            <w:vAlign w:val="bottom"/>
          </w:tcPr>
          <w:p>
            <w:pPr>
              <w:spacing w:after="0"/>
              <w:rPr>
                <w:sz w:val="12"/>
                <w:szCs w:val="12"/>
                <w:color w:val="auto"/>
              </w:rPr>
            </w:pPr>
          </w:p>
        </w:tc>
        <w:tc>
          <w:tcPr>
            <w:tcW w:w="134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340" w:type="dxa"/>
            <w:vAlign w:val="bottom"/>
            <w:shd w:val="clear" w:color="auto" w:fill="CFF0FC"/>
          </w:tcPr>
          <w:p>
            <w:pPr>
              <w:jc w:val="right"/>
              <w:ind w:right="11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94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1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50"/>
        </w:trPr>
        <w:tc>
          <w:tcPr>
            <w:tcW w:w="6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340" w:type="dxa"/>
            <w:vAlign w:val="bottom"/>
            <w:tcBorders>
              <w:bottom w:val="single" w:sz="8" w:color="auto"/>
            </w:tcBorders>
            <w:shd w:val="clear" w:color="auto" w:fill="CFF0FC"/>
          </w:tcPr>
          <w:p>
            <w:pPr>
              <w:jc w:val="right"/>
              <w:ind w:right="11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3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twelve months ended January 31, 2025, there were approximately $2.8 million of tax liabilities released due to lapse of related statutes of limitation and recognized as tax benefits in the consolidated statements of operations.</w:t>
      </w:r>
    </w:p>
    <w:p>
      <w:pPr>
        <w:spacing w:after="0" w:line="158" w:lineRule="exact"/>
        <w:rPr>
          <w:sz w:val="20"/>
          <w:szCs w:val="20"/>
          <w:color w:val="auto"/>
        </w:rPr>
      </w:pPr>
    </w:p>
    <w:p>
      <w:pPr>
        <w:ind w:left="520" w:right="9380" w:hanging="512"/>
        <w:spacing w:after="0" w:line="378" w:lineRule="auto"/>
        <w:tabs>
          <w:tab w:leader="none" w:pos="28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ind w:left="520"/>
        <w:spacing w:after="0"/>
        <w:rPr>
          <w:sz w:val="20"/>
          <w:szCs w:val="20"/>
          <w:color w:val="auto"/>
        </w:rPr>
      </w:pPr>
      <w:r>
        <w:rPr>
          <w:rFonts w:ascii="Times New Roman" w:cs="Times New Roman" w:eastAsia="Times New Roman" w:hAnsi="Times New Roman"/>
          <w:sz w:val="18"/>
          <w:szCs w:val="18"/>
          <w:color w:val="auto"/>
        </w:rPr>
        <w:t>Since the Company’s initial public offering, or IPO, a total of 20,000,000 preference shares, with a $0.00045 par value per share, were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preference shares issued and outstanding as of January 31, 2026 and 2025, respectively.</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2026 and 2025, the following ordinary shares were reserved for future issuance under the Company’s equity plans and employee stock purchase plan: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41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As of January 31,</w:t>
            </w:r>
          </w:p>
        </w:tc>
      </w:tr>
      <w:tr>
        <w:trPr>
          <w:trHeight w:val="142"/>
        </w:trPr>
        <w:tc>
          <w:tcPr>
            <w:tcW w:w="17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00" w:type="dxa"/>
            <w:vAlign w:val="bottom"/>
            <w:tcBorders>
              <w:top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91"/>
        </w:trPr>
        <w:tc>
          <w:tcPr>
            <w:tcW w:w="1700" w:type="dxa"/>
            <w:vAlign w:val="bottom"/>
          </w:tcPr>
          <w:p>
            <w:pPr>
              <w:spacing w:after="0"/>
              <w:rPr>
                <w:sz w:val="16"/>
                <w:szCs w:val="16"/>
                <w:color w:val="auto"/>
              </w:rPr>
            </w:pPr>
          </w:p>
        </w:tc>
        <w:tc>
          <w:tcPr>
            <w:tcW w:w="54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Shares reserved for options, restricted stock and restricted stock units</w:t>
            </w:r>
          </w:p>
        </w:tc>
        <w:tc>
          <w:tcPr>
            <w:tcW w:w="11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under equity plans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3,811,695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4,991,570</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3,975,230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3,636,591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30"/>
        </w:trPr>
        <w:tc>
          <w:tcPr>
            <w:tcW w:w="714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86</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repurchased</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May 28, 2025, the Company's Board of Directors approved an extension of the Company's existing share repurchase program for an additional twelve months through June 30, 2026. During the three months ended April 30, 2025, the Company repurchased a total of 24,152 shares for approximately $1.0 million in cash. As of January 31, 2026, there was approximately $48.0 million available for repurchases under the current repurchase program through June 30, 2026.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171" w:lineRule="exact"/>
        <w:rPr>
          <w:sz w:val="20"/>
          <w:szCs w:val="20"/>
          <w:color w:val="auto"/>
        </w:rPr>
      </w:pPr>
    </w:p>
    <w:p>
      <w:pPr>
        <w:ind w:left="520" w:right="7080" w:hanging="512"/>
        <w:spacing w:after="0" w:line="377" w:lineRule="auto"/>
        <w:tabs>
          <w:tab w:leader="none" w:pos="28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Benefits and Stock-based Compensation </w:t>
      </w:r>
      <w:r>
        <w:rPr>
          <w:rFonts w:ascii="Times New Roman" w:cs="Times New Roman" w:eastAsia="Times New Roman" w:hAnsi="Times New Roman"/>
          <w:sz w:val="18"/>
          <w:szCs w:val="18"/>
          <w:b w:val="1"/>
          <w:bCs w:val="1"/>
          <w:i w:val="1"/>
          <w:iCs w:val="1"/>
          <w:color w:val="auto"/>
        </w:rPr>
        <w:t>401(k) Plan</w:t>
      </w:r>
    </w:p>
    <w:p>
      <w:pPr>
        <w:spacing w:after="0" w:line="2"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401(k) plan (the 401(k) Plan) for all of its eligible U.S. employees. Under the 401(k) Plan, eligible employees may contribute up to the Internal Revenue Service annual contribution limitation. The Company is responsible for administrative costs of the Plan. The Company’s contribution expense for the fiscal years ended January 31, 2026, 2025, and 2024 was approximately $0.8 million, $0.7 million and $0.8 million, respectively.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Amended and Restated 2021 Equity Incentive Plan. </w:t>
      </w:r>
      <w:r>
        <w:rPr>
          <w:rFonts w:ascii="Times New Roman" w:cs="Times New Roman" w:eastAsia="Times New Roman" w:hAnsi="Times New Roman"/>
          <w:sz w:val="18"/>
          <w:szCs w:val="18"/>
          <w:color w:val="auto"/>
        </w:rPr>
        <w:t>The Amended and Restated 2021 Equity Incentive Plan, or 2021 EIP, permits the grant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ISOs, within the meaning of Section 422 of the Code, to employees of the Company and any of the Company’s subsidiary or parent corporations, and the grant of NSOs, stock appreciation rights, restricted stock, restricted stock units, and performance awards to employees, directors and consultants of the Company and any of the Company’s subsidiary or parent corporations’ employees and consultants. In the second quarter of fiscal year 2025, the Company's shareholders approved an increase of 1,750,000 shares to the ordinary shares reserved for issuance under the Amended and Restated 2021 EIP. Subject to adjustments upon changes in capitalization as provided under the 2021 EIP, the maximum aggregate number of ordinary shares that may be subject to awards and issued under the 2021 EIP will be equal to (a) 3,100,000 shares plus (i) any shares subject to awards granted under the Company’s 2012 Equity Incentive Plan (the “Prior Plan”) that, after the date the Prior Plan was terminated, are cancelled, expire or otherwise terminate without having been exercised in full or are forfeited to or repurchased by the Company due to failure to vest, and (ii) any shares that, as of immediately prior to the termination of the Prior Plan, were reserved but not issued pursuant to any awards granted under the Prior Plan and are not subject to any awards thereunder, with the maximum number of ordinary shares to be added to the 2021 EIP pursuant to clauses (i) and (ii) equal to 6,834,208 shares.</w:t>
      </w:r>
    </w:p>
    <w:p>
      <w:pPr>
        <w:spacing w:after="0" w:line="18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Oculii Corp. 2017 Stock Option Plan. </w:t>
      </w:r>
      <w:r>
        <w:rPr>
          <w:rFonts w:ascii="Times New Roman" w:cs="Times New Roman" w:eastAsia="Times New Roman" w:hAnsi="Times New Roman"/>
          <w:sz w:val="18"/>
          <w:szCs w:val="18"/>
          <w:color w:val="auto"/>
        </w:rPr>
        <w:t>The Oculii Corp. 2017 Stock Option Plan, or 2017 Plan, was assumed as part of the acquisition of Oculii.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awards will be granted under the 2017 Plan. However, all outstanding stock options previously granted under the 2017 Plan will remain subject to the terms of the 2017 Plan and any outstanding stock options that are cancelled or forfeited due to failure to vest will immediately expire from the 2017 Plan.</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Restricted stock and restricted stock units granted to new employees vest as to 1/4th of the shares on the first anniversary service date of the grant and 1/16th of the shares vest every 3 months thereafter, so as to be 100% vested on the fourth anniversary of the vesting commencement 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Vesting schedules for other service condition or market condition awards vary and are subject to approval by the Board of Directors.</w:t>
      </w:r>
    </w:p>
    <w:p>
      <w:pPr>
        <w:spacing w:after="0" w:line="221"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Amended and Restated 2012 Employee Stock Purchase Plan. </w:t>
      </w:r>
      <w:r>
        <w:rPr>
          <w:rFonts w:ascii="Times New Roman" w:cs="Times New Roman" w:eastAsia="Times New Roman" w:hAnsi="Times New Roman"/>
          <w:sz w:val="18"/>
          <w:szCs w:val="18"/>
          <w:color w:val="auto"/>
        </w:rPr>
        <w:t>The Amended and Restated 2012 Employee Stock Purchase Plan, or ESPP, permits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eligible participants to purchase ordinary shares at a discount through contributions up to 15% of their eligible compensation, subject to any IRS limitations. The ESPP provides each offering and purchasing period of six months in duration. The purchase price is 85% of the lower of the closing price of the Company’s ordinary shares on the first trading day of each offering period or on the purchase date.</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fiscal year 2026, the Company added 524,549 shares to the ordinary shares reserved for issuance, pursuant to an “evergreen” provision contained in the ESPP. Pursuant to such provision, on February 1st of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8" w:name="page89"/>
    <w:bookmarkEnd w:id="88"/>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ectPr>
          <w:pgSz w:w="11900" w:h="16838" w:orient="portrait"/>
          <w:cols w:equalWidth="0" w:num="1">
            <w:col w:w="11140"/>
          </w:cols>
          <w:pgMar w:left="320" w:top="112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Cost of revenue</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Selling, general and administrative</w:t>
      </w:r>
    </w:p>
    <w:p>
      <w:pPr>
        <w:spacing w:after="0" w:line="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8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72"/>
        </w:trPr>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72,759</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35,216</w:t>
            </w:r>
          </w:p>
        </w:tc>
      </w:tr>
      <w:tr>
        <w:trPr>
          <w:trHeight w:val="209"/>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98,040</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111,316</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-719455</wp:posOffset>
            </wp:positionV>
            <wp:extent cx="5700395"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-445135</wp:posOffset>
            </wp:positionV>
            <wp:extent cx="5700395"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-162560</wp:posOffset>
            </wp:positionV>
            <wp:extent cx="5700395" cy="1631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700" w:space="720"/>
            <w:col w:w="4720"/>
          </w:cols>
          <w:pgMar w:left="320" w:top="1120" w:right="439" w:bottom="1440" w:gutter="0" w:footer="0" w:header="0"/>
          <w:type w:val="continuous"/>
        </w:sect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January 31, 2026 and 2025, approximately $5.6 million and $6.2 million of stock-based compensation expense, respectively, was accrued in accrued and other current liabilities in the consolidated balance sheets. Total unrecognized compensation cost related to unvested restricted stock units at January 31, 2026 was $151.1 million and is expected to be recognized over a weighted-average period of 2.37 years. The stock options were fully vested and as a result, there was no unrecognized compensation cost related to unvested stock options as of January 31, 2026.</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were no material stock modifications in fiscal years 2026 and 2025, respectively. In fiscal year 2024, the Company and its Compensation Committee of the Board of Directors approved an acceleration of vesting of certain unvested equity awards and one-time compensation settled through the issuance of restricted stock units associated with a departure of an executive. As a result, there were 24,559 shares of restricted stock units accelerated and approximately $1.6 million of additional stock-based compensation expense, net, recognized in the fiscal year ended January 31, 2024.</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employee stock purchase plan awards for the periods indicated:</w:t>
      </w:r>
    </w:p>
    <w:p>
      <w:pPr>
        <w:spacing w:after="0" w:line="15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5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Volatility</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7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Expected term (years)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r>
      <w:tr>
        <w:trPr>
          <w:trHeight w:val="216"/>
        </w:trPr>
        <w:tc>
          <w:tcPr>
            <w:tcW w:w="57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Dividend yield</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ESPP shares, the expected term represents the term from the first day of the offering period to the purchase date. The Company calculates expected volatility based on its own historical stock price for a period commensurate with the expected term. The risk-free interest rate is derived from the U.S. Treasury constant maturity rate for the respective period commensurate with the expected term. The expected dividend yield is zero because the Company has not historically paid dividends and has no present intention to pay dividends.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type w:val="continuous"/>
        </w:sectPr>
      </w:pPr>
    </w:p>
    <w:bookmarkStart w:id="89" w:name="page90"/>
    <w:bookmarkEnd w:id="89"/>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periods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2023</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484,791</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(104,931)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373,318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(144,519)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2025</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226,616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(50,085)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(16,619)</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January 31, 2026</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159,912</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2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January 31, 2026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-281940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firstLine="563"/>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stock was $64.04 on January 31, 2026, as reported by The Nasdaq Global Select Market. The intrinsic value of exercised options is calculated based on the difference between the fair market value of the Company’s stock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periods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2023</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2,573,359</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(1,220,608)</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(225,512)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2,432,640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(1,106,546)</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(159,140)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2,645,379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(1,129,790)</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(301,880)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2026</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2,621,997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Total fair value of restricted stock units vested as of the respective vesting dates for the fiscal years ended January 31, 2026, 2025 and 2024 was approximately $72.5 million, $64.0 million, and $88.0 million, respectively. As of January 31, 2026, the aggregate intrinsic value of unvested restricted stock units was $167.9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13.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ordinary share for the periods indicated:</w:t>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20" w:type="dxa"/>
            <w:vAlign w:val="bottom"/>
            <w:gridSpan w:val="8"/>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(75,865)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(169,417)</w:t>
            </w: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42,704,312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41,303,287</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39,878,872</w:t>
            </w: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8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ordinary shares - diluted</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42,704,312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41,303,287</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39,878,872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97"/>
        </w:trPr>
        <w:tc>
          <w:tcPr>
            <w:tcW w:w="5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ordinary share: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5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8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8"/>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(4.25)</w:t>
            </w: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-488315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-471170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-488315</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-471170</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-488315</wp:posOffset>
            </wp:positionV>
            <wp:extent cx="596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-471170</wp:posOffset>
            </wp:positionV>
            <wp:extent cx="59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-187960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-187960</wp:posOffset>
            </wp:positionV>
            <wp:extent cx="596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596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76,920</w:t>
            </w:r>
          </w:p>
        </w:tc>
        <w:tc>
          <w:tcPr>
            <w:tcW w:w="200" w:type="dxa"/>
            <w:vAlign w:val="bottom"/>
            <w:tcBorders>
              <w:left w:val="single" w:sz="8" w:color="CFF0FC"/>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177,340</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20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22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1,045,007</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1,929,464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Loss before income taxes consisted of the following for the periods indicated: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operations</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(25,108)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(35,572)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(33,953)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Non-U.S. operations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(48,589)</w:t>
            </w: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(82,156)</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(114,577)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(73,697)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(117,728)</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(148,530)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-1525270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-1525270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-1525270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514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provision (benefit) consisted of the following for the periods indicated:</w:t>
      </w:r>
    </w:p>
    <w:p>
      <w:pPr>
        <w:sectPr>
          <w:pgSz w:w="11900" w:h="16838" w:orient="portrait"/>
          <w:cols w:equalWidth="0" w:num="1">
            <w:col w:w="10940"/>
          </w:cols>
          <w:pgMar w:left="320" w:top="100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U.S. federal tax</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U.S. state taxes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Non-U.S. foreign taxes</w:t>
      </w:r>
    </w:p>
    <w:p>
      <w:pPr>
        <w:spacing w:after="0" w:line="2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Deferred:</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U.S. federal tax</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U.S. state taxes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Non-U.S. foreign taxes</w:t>
      </w:r>
    </w:p>
    <w:p>
      <w:pPr>
        <w:spacing w:after="0" w:line="2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Provision (benefit) for income taxes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8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72"/>
        </w:trPr>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(2,650)</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18"/>
                <w:szCs w:val="18"/>
                <w:color w:val="auto"/>
              </w:rPr>
            </w:pPr>
          </w:p>
        </w:tc>
      </w:tr>
      <w:tr>
        <w:trPr>
          <w:trHeight w:val="40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18,909</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60" w:type="dxa"/>
            <w:vAlign w:val="bottom"/>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-1567815</wp:posOffset>
            </wp:positionV>
            <wp:extent cx="5700395"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-1294130</wp:posOffset>
            </wp:positionV>
            <wp:extent cx="5700395"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-727710</wp:posOffset>
            </wp:positionV>
            <wp:extent cx="5700395"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-1010920</wp:posOffset>
            </wp:positionV>
            <wp:extent cx="5700395" cy="146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-454025</wp:posOffset>
            </wp:positionV>
            <wp:extent cx="5700395" cy="146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-161925</wp:posOffset>
            </wp:positionV>
            <wp:extent cx="5700395" cy="162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4520"/>
          </w:cols>
          <w:pgMar w:left="320" w:top="1008" w:right="639" w:bottom="1440" w:gutter="0" w:footer="0" w:header="0"/>
          <w:type w:val="continuous"/>
        </w:sect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08" w:right="639" w:bottom="1440" w:gutter="0" w:footer="0" w:header="0"/>
          <w:type w:val="continuous"/>
        </w:sectPr>
      </w:pPr>
    </w:p>
    <w:bookmarkStart w:id="91" w:name="page92"/>
    <w:bookmarkEnd w:id="91"/>
    <w:p>
      <w:pPr>
        <w:jc w:val="both"/>
        <w:ind w:left="500" w:right="3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on a prospective basis, in the fourth quarter of fiscal year 2026. A reconciliation of the Cayman Islands statutory income tax rate of 0% to the effective tax rate pursuant to the disclosure requirements of ASU 2023-09 for the year ended January 31, 2026,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r>
      <w:tr>
        <w:trPr>
          <w:trHeight w:val="142"/>
        </w:trPr>
        <w:tc>
          <w:tcPr>
            <w:tcW w:w="85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center"/>
              <w:ind w:left="6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center"/>
              <w:ind w:left="193"/>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 expense (benefit) at statutory rate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32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U.S. and the Cayman Islands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(5,273)</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Executive compensation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R&amp;D credit</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(3,262)</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Hong Kong and the Cayman Islands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Taiwan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Taiwan and the Cayman Islands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China and the Cayman Islands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Other foreign jurisdictions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other foreign jurisdictions and the Cayman Islands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unrecognized tax benefits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(3,163)</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18"/>
                <w:szCs w:val="18"/>
                <w:color w:val="auto"/>
              </w:rPr>
            </w:pPr>
          </w:p>
        </w:tc>
      </w:tr>
      <w:tr>
        <w:trPr>
          <w:trHeight w:val="210"/>
        </w:trPr>
        <w:tc>
          <w:tcPr>
            <w:tcW w:w="85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tax expense</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top w:val="single" w:sz="8" w:color="CFF0FC"/>
            </w:tcBorders>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-170815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Pursuant to the disclosure requirements of ASU 2023-09, the following table presents income taxes paid, net of refunds received,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r>
      <w:tr>
        <w:trPr>
          <w:trHeight w:val="142"/>
        </w:trPr>
        <w:tc>
          <w:tcPr>
            <w:tcW w:w="40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taxes paid (net of refund):</w:t>
            </w:r>
          </w:p>
        </w:tc>
        <w:tc>
          <w:tcPr>
            <w:tcW w:w="5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Cayman Islands - Federal</w:t>
            </w:r>
          </w:p>
        </w:tc>
        <w:tc>
          <w:tcPr>
            <w:tcW w:w="5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Cayman Islands - State</w:t>
            </w:r>
          </w:p>
        </w:tc>
        <w:tc>
          <w:tcPr>
            <w:tcW w:w="5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Taiwan</w:t>
            </w:r>
          </w:p>
        </w:tc>
        <w:tc>
          <w:tcPr>
            <w:tcW w:w="5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Italy</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r>
      <w:tr>
        <w:trPr>
          <w:trHeight w:val="216"/>
        </w:trPr>
        <w:tc>
          <w:tcPr>
            <w:tcW w:w="4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5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Hong Kong</w:t>
            </w: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8"/>
                <w:szCs w:val="18"/>
                <w:color w:val="auto"/>
              </w:rPr>
            </w:pPr>
          </w:p>
        </w:tc>
      </w:tr>
      <w:tr>
        <w:trPr>
          <w:trHeight w:val="216"/>
        </w:trPr>
        <w:tc>
          <w:tcPr>
            <w:tcW w:w="4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5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408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 foreign jurisdictions</w:t>
            </w:r>
          </w:p>
        </w:tc>
        <w:tc>
          <w:tcPr>
            <w:tcW w:w="5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Borders>
              <w:top w:val="single" w:sz="8" w:color="CFF0FC"/>
            </w:tcBorders>
          </w:tcPr>
          <w:p>
            <w:pPr>
              <w:spacing w:after="0"/>
              <w:rPr>
                <w:sz w:val="18"/>
                <w:szCs w:val="18"/>
                <w:color w:val="auto"/>
              </w:rPr>
            </w:pPr>
          </w:p>
        </w:tc>
      </w:tr>
      <w:tr>
        <w:trPr>
          <w:trHeight w:val="25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income taxes paid</w:t>
            </w:r>
          </w:p>
        </w:tc>
        <w:tc>
          <w:tcPr>
            <w:tcW w:w="5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FF0FC"/>
          </w:tcPr>
          <w:p>
            <w:pPr>
              <w:spacing w:after="0"/>
              <w:rPr>
                <w:sz w:val="21"/>
                <w:szCs w:val="21"/>
                <w:color w:val="auto"/>
              </w:rPr>
            </w:pPr>
          </w:p>
        </w:tc>
      </w:tr>
      <w:tr>
        <w:trPr>
          <w:trHeight w:val="629"/>
        </w:trPr>
        <w:tc>
          <w:tcPr>
            <w:tcW w:w="4080" w:type="dxa"/>
            <w:vAlign w:val="bottom"/>
            <w:tcBorders>
              <w:top w:val="single" w:sz="8" w:color="CFF0FC"/>
            </w:tcBorders>
          </w:tcPr>
          <w:p>
            <w:pPr>
              <w:spacing w:after="0"/>
              <w:rPr>
                <w:sz w:val="24"/>
                <w:szCs w:val="24"/>
                <w:color w:val="auto"/>
              </w:rPr>
            </w:pPr>
          </w:p>
        </w:tc>
        <w:tc>
          <w:tcPr>
            <w:tcW w:w="5280" w:type="dxa"/>
            <w:vAlign w:val="bottom"/>
            <w:tcBorders>
              <w:top w:val="single" w:sz="8" w:color="CFF0FC"/>
            </w:tcBorders>
          </w:tcPr>
          <w:p>
            <w:pPr>
              <w:jc w:val="right"/>
              <w:ind w:right="355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92" w:name="page93"/>
    <w:bookmarkEnd w:id="92"/>
    <w:p>
      <w:pPr>
        <w:ind w:right="120" w:firstLine="509"/>
        <w:spacing w:after="0" w:line="272" w:lineRule="auto"/>
        <w:rPr>
          <w:sz w:val="20"/>
          <w:szCs w:val="20"/>
          <w:color w:val="auto"/>
        </w:rPr>
      </w:pPr>
      <w:r>
        <w:rPr>
          <w:rFonts w:ascii="Times New Roman" w:cs="Times New Roman" w:eastAsia="Times New Roman" w:hAnsi="Times New Roman"/>
          <w:sz w:val="17"/>
          <w:szCs w:val="17"/>
          <w:color w:val="auto"/>
        </w:rPr>
        <w:t xml:space="preserve">The Company consists of a Cayman Islands parent company with various foreign and U.S. subsidiaries. Under the current laws of the Cayman Islands, the Company is not subject to tax on its income. For purposes of the reconciliation, prior to adoption of ASU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Improvements to Income Tax Disclosures, </w:t>
      </w:r>
      <w:r>
        <w:rPr>
          <w:rFonts w:ascii="Times New Roman" w:cs="Times New Roman" w:eastAsia="Times New Roman" w:hAnsi="Times New Roman"/>
          <w:sz w:val="17"/>
          <w:szCs w:val="17"/>
          <w:color w:val="auto"/>
        </w:rPr>
        <w:t>between the provision (benefit) for income taxes at the statutory rate and the effective tax rate, a notional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rate is applied to pretax income (loss) as a result of the following for the periods indicated, respectively:</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at U.S. notional statutory rate</w:t>
            </w: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(24,723)</w:t>
            </w:r>
          </w:p>
        </w:tc>
        <w:tc>
          <w:tcPr>
            <w:tcW w:w="48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(31,191)</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U.S. state taxes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foreign tax differential</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25,736</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80" w:type="dxa"/>
            <w:vAlign w:val="bottom"/>
          </w:tcPr>
          <w:p>
            <w:pPr>
              <w:spacing w:after="0"/>
              <w:rPr>
                <w:sz w:val="18"/>
                <w:szCs w:val="18"/>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R&amp;D credit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(5,109)</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(7,232)</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28,311</w:t>
            </w:r>
          </w:p>
        </w:tc>
        <w:tc>
          <w:tcPr>
            <w:tcW w:w="80" w:type="dxa"/>
            <w:vAlign w:val="bottom"/>
          </w:tcPr>
          <w:p>
            <w:pPr>
              <w:spacing w:after="0"/>
              <w:rPr>
                <w:sz w:val="18"/>
                <w:szCs w:val="18"/>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related to uncertain tax positions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release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(602)</w:t>
            </w:r>
          </w:p>
        </w:tc>
        <w:tc>
          <w:tcPr>
            <w:tcW w:w="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Temporary differences that gave rise to significant portions of the Company’s deferred tax assets and liabilities at January 31, 2026 and 2025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and state credits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68,077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80" w:type="dxa"/>
            <w:vAlign w:val="bottom"/>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(77,336)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(68,047)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3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(4,379)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(2,432)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(7,111)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(5,668)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4"/>
            <w:vMerge w:val="restart"/>
          </w:tcPr>
          <w:p>
            <w:pPr>
              <w:ind w:left="520"/>
              <w:spacing w:after="0"/>
              <w:rPr>
                <w:sz w:val="20"/>
                <w:szCs w:val="20"/>
                <w:color w:val="auto"/>
              </w:rPr>
            </w:pPr>
            <w:r>
              <w:rPr>
                <w:rFonts w:ascii="Times New Roman" w:cs="Times New Roman" w:eastAsia="Times New Roman" w:hAnsi="Times New Roman"/>
                <w:sz w:val="18"/>
                <w:szCs w:val="18"/>
                <w:color w:val="auto"/>
              </w:rPr>
              <w:t>Tax valuation allowance for the periods indicated below were as follows:</w:t>
            </w: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4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6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6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2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2"/>
                <w:szCs w:val="12"/>
                <w:color w:val="auto"/>
              </w:rPr>
            </w:pPr>
          </w:p>
        </w:tc>
        <w:tc>
          <w:tcPr>
            <w:tcW w:w="78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5"/>
                <w:szCs w:val="15"/>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5"/>
                <w:szCs w:val="15"/>
                <w:color w:val="auto"/>
              </w:rPr>
            </w:pPr>
          </w:p>
        </w:tc>
        <w:tc>
          <w:tcPr>
            <w:tcW w:w="7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Valuation Allowance</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January 31,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January 31, 2025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60,036</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January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31,440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1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-3796665</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-3796665</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-3514090</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-3514090</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-2647950</wp:posOffset>
            </wp:positionV>
            <wp:extent cx="514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-2647950</wp:posOffset>
            </wp:positionV>
            <wp:extent cx="514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3" w:name="page94"/>
    <w:bookmarkEnd w:id="93"/>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conducts its business in several countries and regions and is subject to taxation in those jurisdictions. The Company is incorporated in the Cayman Islands with foreign subsidiaries in the U.S., China, Taiwan, Italy and other foreign countries and regions. As such, the Company’s worldwide operating income is subject to varying tax rates and its effective tax rate is highly dependent upon the geographic distribution of its earnings or losses and the tax laws and regulations in each geographical region. Consequently, the Company has experienced lower effective tax rates as a substantial amount of its operations are conducted in lower-tax jurisdictions. If the Company’s operational structure was to change in such a manner that would increase the amount of operating income subject to taxation in higher-tax jurisdictions, or if the Company was to commence operations in jurisdictions assessing relatively higher tax rates, its effective tax rate could fluctuate significantly on a quarterly basis and/or be adversely affected. Dividend distributions received from the Company’s U.S. subsidiary and certain other foreign subsidiaries may be subject to local country withholding taxes when, and if, distributed. Deferred tax liabilities have not been recorded on unremitted earnings of certain subsidiaries because management’s intent is to indefinitely reinvest any undistributed earnings in those subsidiaries. If dividend distributions from those subsidiaries were to occur, the liability as of January 31, 2026, would be approximately $9.1 million.</w:t>
      </w:r>
    </w:p>
    <w:p>
      <w:pPr>
        <w:spacing w:after="0" w:line="192"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As of January 31, 2026, and 2025, the Company had net deferred tax liabilities after valuation allowance of $0.1 million and $0.5 million, respectively. The Company continued to evaluate the need for a valuation allowance by considering among other things, the nature, frequency and severity of current losses, reversal of taxable temporary differences, tax planning strategies, future projections in the U.S. and the duration of statutory carryforward periods. Based on the current projections of the Company’s future taxable income, and overall evaluation of other related evidence, management determined it is not more likely than not that the U.S. deferred tax assets will be realized, and therefore, valuation allowance remains necessary.</w:t>
      </w:r>
    </w:p>
    <w:p>
      <w:pPr>
        <w:spacing w:after="0" w:line="16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has Federal and California net operating losses of $45.0 million and $1.0 million, respectively, as of January 31, 2026. The Federal net operating loss can be carried forward indefinitely, if not utilized. The California net operating loss begins to expire in fiscal year 2044, if not utilized. For financial statement purposes these carry forwards are offset by reserves for uncertain tax positions.</w:t>
      </w:r>
    </w:p>
    <w:p>
      <w:pPr>
        <w:spacing w:after="0" w:line="176"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also has Federal and California state research and development credit carryforwards of approximately $35.1 million and $41.7 million, respectively, as of January 31, 2026. The Federal credits begin to expire in the fiscal year 2036. The California credits can be carried forward indefinitely.</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Utilization of the net operating loss and research credit carryforwards may be subject to an annual limitation due to the ownership percentage change limitations as defined by the U.S. Internal Revenue Code Section 382, as amended, and similar state provisions as well as separate return year limitation which limits the utilization of loss generated before a company joins the consolidated filing group. The annual limitations may result in the expiration of the U.S. Federal and state net operating loss (NOL) and research credit carryforwards before utilization. The Company has a full valuation allowance against all U.S. deferred tax assets due to lack of more likely than not future utilization of these deferred tax assets.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FASB’s guidance on accounting for uncertainty in income taxes. As of January 31, 2026, the Company had approximately $18.4 million in unrecognized tax benefits, $1.1 million of which would affect the Company’s effective tax rate if recognized. </w:t>
      </w:r>
      <w:r>
        <w:rPr>
          <w:rFonts w:ascii="Times New Roman" w:cs="Times New Roman" w:eastAsia="Times New Roman" w:hAnsi="Times New Roman"/>
          <w:sz w:val="18"/>
          <w:szCs w:val="18"/>
          <w:color w:val="212529"/>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remainder of the unrecognized tax benefits would not affect the effective tax rate due to the full valuation recorded for U.S. deferred tax assets.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following table sets forth a reconciliation of the beginning and ending amount of unrecognized tax benefits: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80" w:type="dxa"/>
            <w:vAlign w:val="bottom"/>
            <w:shd w:val="clear" w:color="auto" w:fill="CFF0FC"/>
          </w:tcPr>
          <w:p>
            <w:pPr>
              <w:spacing w:after="0"/>
              <w:rPr>
                <w:sz w:val="18"/>
                <w:szCs w:val="18"/>
                <w:color w:val="auto"/>
              </w:rPr>
            </w:pPr>
          </w:p>
        </w:tc>
      </w:tr>
      <w:tr>
        <w:trPr>
          <w:trHeight w:val="198"/>
        </w:trPr>
        <w:tc>
          <w:tcPr>
            <w:tcW w:w="43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Additions based on tax positions related to the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tcPr>
          <w:p>
            <w:pPr>
              <w:spacing w:after="0"/>
              <w:rPr>
                <w:sz w:val="20"/>
                <w:szCs w:val="20"/>
                <w:color w:val="auto"/>
              </w:rPr>
            </w:pPr>
          </w:p>
        </w:tc>
      </w:tr>
      <w:tr>
        <w:trPr>
          <w:trHeight w:val="216"/>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Settlements for prior periods</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Lapse of applicable statute of limitations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4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22,628</w:t>
            </w:r>
          </w:p>
        </w:tc>
        <w:tc>
          <w:tcPr>
            <w:tcW w:w="80" w:type="dxa"/>
            <w:vAlign w:val="bottom"/>
            <w:shd w:val="clear" w:color="auto" w:fill="CFF0FC"/>
          </w:tcPr>
          <w:p>
            <w:pPr>
              <w:spacing w:after="0"/>
              <w:rPr>
                <w:sz w:val="19"/>
                <w:szCs w:val="19"/>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classified $0.9 million and $0.9 million of income tax liabilities as other long-term liabilities as of January 31, 2026, and 2025, respectively, because payment of cash or settlement is not anticipated within one year from the balance sheet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4" w:name="page95"/>
    <w:bookmarkEnd w:id="94"/>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as a component of income tax expense. The Company recorded an expense of $0.1 million, a benefit of $0.5 million, and an expense of $0.05 million for interest and penalties related to uncertain tax positions for the fiscal years ended January 31, 2026, 2025 and 2024, respectively. The Company recorded noncurrent liabilities of $0.2 million and $0.1 million related to interest and penalties for uncertain tax positions at January 31, 2026, and 2025, respectively.</w:t>
      </w:r>
    </w:p>
    <w:p>
      <w:pPr>
        <w:spacing w:after="0" w:line="180"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primary jurisdiction where our foreign earnings are derived is the Cayman Islands, where the Company is domiciled. The Company files income tax returns in the U.S. federal jurisdiction as well as many U.S. state and foreign jurisdictions. As of January 31, 2026, the Company’s fiscal year 2023 through 2026 tax years are generally open and subject to potential examination by U.S. federal tax authorities. The Company’s fiscal year 2022 through 2026 tax years are generally open and subject to potential examination by state tax authorities. The Company’s fiscal years 2019 to 2026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During the fiscal year ended January 31, 2026, the gross amount of unrecognized tax benefits decreased by approximately $2.1 million to $18.4 million. The decrease was primarily due to the release of certain reserves for uncertain tax positions where the statute of limitation has lapsed, offset by reserves for uncertain tax positions related to research credits. If the estimates of income tax liabilities prove to be less than the ultimate assessment, then a further charge to expense and balance sheet tax footnote disclosure could be required. If events occur, and the payment of these amounts ultimately proves to be unnecessary, the reversal of the liabilities could result in tax benefits being recognized in the period in which the Company determines the liabilities are no longer necessary.</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2026, the Company’s long-term income taxes payable, including estimated interest and penalties, was approximately $1.1 million. The Company was unable to make a reasonably reliable estimate of the timing of payments in individual years due to uncertainties in the timing of tax audits, if any, or their outcomes.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Manufacturer Commitments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January 31, 2026 and 2025, total manufacturing purchase commitments were approximately $80.4 million and $56.4 million, respectively. The Company also reviews and assesses the need for any expected loss liabilities on quarterly basis for all products that it does not expect to sell for which it has committed purchases from suppliers. There were no material loss liabilities recorded in the consolidated balance sheets from adverse purchase commitments as of January 31, 2026 and 2025, respectively.</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From time-to-time, the Company enters into noncancellable service contracts with third-parties for IT infrastructure services and support and maintenance for software licenses. As of January 31, 2026, the total committed payments for these services were approximately $12.4 million.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January 31, 2026, and no liabilities have been recorded for these obligations in the consolidated balance sheets as of January 31, 2026 and 2025, respectively.</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5" w:name="page96"/>
    <w:bookmarkEnd w:id="95"/>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January 31, 2026 and 2025, there were no accruals for contingent liabilities related to such matters recorded in the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operates as a single operating and reportable segment and derives substantially all of its revenue from development and sales of low-power AI-based processing and video and image processing SoC solutions. In determination of a reportable segment, the Company considers the research and development deployed, the nature of production process, the distribution channels of SoCs, as well as the Company’s management structure. The Chief Executive Officer of the Company has been identified as the Chief Operating Decision Maker (the CODM) and manages the Company’s operations as a whole. The CODM uses net loss presented on a consolidated basis to evaluate the financial performance and allocate resources. The CODM also monitors budget versus actual results of the operating segment. The measure of reportable segment assets is reported within the consolidated balance sheets as total assets. The accounting policies for the measurement of net loss and total assets of the reportable segment have been described in the Note 1,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Summary of Significant Accounting Policies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271,928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179,324</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119,601</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Taiwan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58,506</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8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-170815</wp:posOffset>
            </wp:positionV>
            <wp:extent cx="514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property and equipment were located in the United States, Taiwan, Europe and Asia Pacific region other than Taiwan. As of January 31, 2026, the net amount of these fixed assets located in these regions was approximately $6.6 million, $3.6 million, $1.1 million and $0.3 million, respectively. As of January 31, 2025, the net amount of these fixed assets located in these regions was approximately $3.7 million, $4.0 million, $1.1 million and $0.3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included in the consolidated net loss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right"/>
              <w:ind w:right="153"/>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040" w:type="dxa"/>
            <w:vAlign w:val="bottom"/>
            <w:vMerge w:val="continue"/>
          </w:tcPr>
          <w:p>
            <w:pPr>
              <w:spacing w:after="0"/>
              <w:rPr>
                <w:sz w:val="20"/>
                <w:szCs w:val="20"/>
                <w:color w:val="auto"/>
              </w:rPr>
            </w:pPr>
          </w:p>
        </w:tc>
        <w:tc>
          <w:tcPr>
            <w:tcW w:w="2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390,702</w:t>
            </w:r>
          </w:p>
        </w:tc>
        <w:tc>
          <w:tcPr>
            <w:tcW w:w="10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c>
          <w:tcPr>
            <w:tcW w:w="16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 cost and expense:</w:t>
            </w:r>
          </w:p>
        </w:tc>
        <w:tc>
          <w:tcPr>
            <w:tcW w:w="2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Employee-related</w:t>
            </w:r>
          </w:p>
        </w:tc>
        <w:tc>
          <w:tcPr>
            <w:tcW w:w="2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Semiconductor development cost</w:t>
            </w:r>
          </w:p>
        </w:tc>
        <w:tc>
          <w:tcPr>
            <w:tcW w:w="2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Tools &amp; equipment</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Facilities-related</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(a)</w:t>
            </w:r>
          </w:p>
        </w:tc>
        <w:tc>
          <w:tcPr>
            <w:tcW w:w="2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(7,837)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(75,865)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(117,126)</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(169,417)</w:t>
            </w:r>
          </w:p>
        </w:tc>
        <w:tc>
          <w:tcPr>
            <w:tcW w:w="0" w:type="dxa"/>
            <w:vAlign w:val="bottom"/>
          </w:tcPr>
          <w:p>
            <w:pPr>
              <w:spacing w:after="0"/>
              <w:rPr>
                <w:sz w:val="1"/>
                <w:szCs w:val="1"/>
                <w:color w:val="auto"/>
              </w:rPr>
            </w:pPr>
          </w:p>
        </w:tc>
      </w:tr>
      <w:tr>
        <w:trPr>
          <w:trHeight w:val="629"/>
        </w:trPr>
        <w:tc>
          <w:tcPr>
            <w:tcW w:w="4040" w:type="dxa"/>
            <w:vAlign w:val="bottom"/>
            <w:tcBorders>
              <w:top w:val="single" w:sz="8" w:color="CFF0FC"/>
            </w:tcBorders>
          </w:tcPr>
          <w:p>
            <w:pPr>
              <w:spacing w:after="0"/>
              <w:rPr>
                <w:sz w:val="24"/>
                <w:szCs w:val="24"/>
                <w:color w:val="auto"/>
              </w:rPr>
            </w:pPr>
          </w:p>
        </w:tc>
        <w:tc>
          <w:tcPr>
            <w:tcW w:w="260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-933450</wp:posOffset>
            </wp:positionV>
            <wp:extent cx="768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-933450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6" w:name="page97"/>
    <w:bookmarkEnd w:id="96"/>
    <w:p>
      <w:pPr>
        <w:ind w:right="160" w:firstLine="8"/>
        <w:spacing w:after="0" w:line="282"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segment items include amortization of intangible assets acquired from business combinations, non-operating (income) expenses, income tax provision (benefit) and other immaterial items.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customer representing 10% or more of revenue for the fiscal years ended January 31, 2026 and 2025 was WT, which accounted for approximately 70% and 63% of total revenue, respectively. The customers representing 10% or more of revenue for the fiscal year ended January 31, 2024 were WT and Chicony, which accounted for approximately 53% and 14% of total revenue, respectively. Accounts receivable with WT was approximately $24.6 million and $12.3 million as of January 31, 2026 and 2025,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From February 1, 2026 to March 20, 2026, the Company repurchased a total of 18,702 shares for approximately $1.0 million in cash. As of March 20, 2026, there was approximately $47.0 million available for repurchases under the repurchase program through June 30, 2026.</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80" w:type="dxa"/>
            <w:vAlign w:val="bottom"/>
            <w:gridSpan w:val="15"/>
          </w:tcPr>
          <w:p>
            <w:pPr>
              <w:jc w:val="center"/>
              <w:ind w:right="4740"/>
              <w:spacing w:after="0"/>
              <w:rPr>
                <w:sz w:val="20"/>
                <w:szCs w:val="20"/>
                <w:color w:val="auto"/>
              </w:rPr>
            </w:pPr>
            <w:r>
              <w:rPr>
                <w:rFonts w:ascii="Times New Roman" w:cs="Times New Roman" w:eastAsia="Times New Roman" w:hAnsi="Times New Roman"/>
                <w:sz w:val="18"/>
                <w:szCs w:val="18"/>
                <w:b w:val="1"/>
                <w:bCs w:val="1"/>
                <w:color w:val="auto"/>
              </w:rPr>
              <w:t>EXHIBITS INDEX</w:t>
            </w:r>
          </w:p>
        </w:tc>
        <w:tc>
          <w:tcPr>
            <w:tcW w:w="0" w:type="dxa"/>
            <w:vAlign w:val="bottom"/>
          </w:tcPr>
          <w:p>
            <w:pPr>
              <w:spacing w:after="0"/>
              <w:rPr>
                <w:sz w:val="1"/>
                <w:szCs w:val="1"/>
                <w:color w:val="auto"/>
              </w:rPr>
            </w:pPr>
          </w:p>
        </w:tc>
      </w:tr>
      <w:tr>
        <w:trPr>
          <w:trHeight w:val="340"/>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36"/>
        </w:trPr>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2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14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94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95">
              <w:r>
                <w:rPr>
                  <w:rFonts w:ascii="Times New Roman" w:cs="Times New Roman" w:eastAsia="Times New Roman" w:hAnsi="Times New Roman"/>
                  <w:sz w:val="18"/>
                  <w:szCs w:val="18"/>
                  <w:color w:val="0000FF"/>
                  <w:w w:val="99"/>
                </w:rPr>
                <w:t>Amended and Restated Memorandum of Association and Second Amended and Restated Articles of Association of Ambarella, Inc.</w:t>
              </w:r>
            </w:hyperlink>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Description of Share Capital of Ambarella, Inc.</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10.2.1(3)*</w:t>
            </w:r>
          </w:p>
        </w:tc>
        <w:tc>
          <w:tcPr>
            <w:tcW w:w="20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Amended and Restated 2012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10.2.2(1)*</w:t>
            </w:r>
          </w:p>
        </w:tc>
        <w:tc>
          <w:tcPr>
            <w:tcW w:w="20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Form of Stock Option Agreement under 2012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10.2.3(1)*</w:t>
            </w:r>
          </w:p>
        </w:tc>
        <w:tc>
          <w:tcPr>
            <w:tcW w:w="200" w:type="dxa"/>
            <w:vAlign w:val="bottom"/>
          </w:tcPr>
          <w:p>
            <w:pPr>
              <w:spacing w:after="0"/>
              <w:rPr>
                <w:sz w:val="24"/>
                <w:szCs w:val="24"/>
                <w:color w:val="auto"/>
              </w:rPr>
            </w:pPr>
          </w:p>
        </w:tc>
        <w:tc>
          <w:tcPr>
            <w:tcW w:w="51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99">
              <w:r>
                <w:rPr>
                  <w:rFonts w:ascii="Times New Roman" w:cs="Times New Roman" w:eastAsia="Times New Roman" w:hAnsi="Times New Roman"/>
                  <w:sz w:val="18"/>
                  <w:szCs w:val="18"/>
                  <w:color w:val="0000FF"/>
                  <w:w w:val="99"/>
                </w:rPr>
                <w:t>Form of Restricted Stock Agreement under 2012 Equity Incentive Plan</w:t>
              </w:r>
            </w:hyperlink>
          </w:p>
        </w:tc>
        <w:tc>
          <w:tcPr>
            <w:tcW w:w="20" w:type="dxa"/>
            <w:vAlign w:val="bottom"/>
            <w:tcBorders>
              <w:bottom w:val="single" w:sz="8" w:color="0000EE"/>
            </w:tcBorders>
          </w:tcPr>
          <w:p>
            <w:pPr>
              <w:spacing w:after="0"/>
              <w:rPr>
                <w:sz w:val="24"/>
                <w:szCs w:val="24"/>
                <w:color w:val="auto"/>
              </w:rPr>
            </w:pPr>
          </w:p>
        </w:tc>
        <w:tc>
          <w:tcPr>
            <w:tcW w:w="47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10.2.4(1)*</w:t>
            </w:r>
          </w:p>
        </w:tc>
        <w:tc>
          <w:tcPr>
            <w:tcW w:w="200" w:type="dxa"/>
            <w:vAlign w:val="bottom"/>
          </w:tcPr>
          <w:p>
            <w:pPr>
              <w:spacing w:after="0"/>
              <w:rPr>
                <w:sz w:val="24"/>
                <w:szCs w:val="24"/>
                <w:color w:val="auto"/>
              </w:rPr>
            </w:pPr>
          </w:p>
        </w:tc>
        <w:tc>
          <w:tcPr>
            <w:tcW w:w="54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400">
              <w:r>
                <w:rPr>
                  <w:rFonts w:ascii="Times New Roman" w:cs="Times New Roman" w:eastAsia="Times New Roman" w:hAnsi="Times New Roman"/>
                  <w:sz w:val="18"/>
                  <w:szCs w:val="18"/>
                  <w:color w:val="0000FF"/>
                  <w:w w:val="99"/>
                </w:rPr>
                <w:t>Form of Restricted Stock Unit Agreement under 2012 Equity Incentive Plan</w:t>
              </w:r>
            </w:hyperlink>
          </w:p>
        </w:tc>
        <w:tc>
          <w:tcPr>
            <w:tcW w:w="20" w:type="dxa"/>
            <w:vAlign w:val="bottom"/>
            <w:tcBorders>
              <w:bottom w:val="single" w:sz="8" w:color="0000EE"/>
            </w:tcBorders>
          </w:tcPr>
          <w:p>
            <w:pPr>
              <w:spacing w:after="0"/>
              <w:rPr>
                <w:sz w:val="24"/>
                <w:szCs w:val="24"/>
                <w:color w:val="auto"/>
              </w:rPr>
            </w:pPr>
          </w:p>
        </w:tc>
        <w:tc>
          <w:tcPr>
            <w:tcW w:w="4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10.2.5(3)*</w:t>
            </w:r>
          </w:p>
        </w:tc>
        <w:tc>
          <w:tcPr>
            <w:tcW w:w="20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Form of Performance-Based Restricted Stock Unit Agreement under 2012 Equity Incentive Plan</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9"/>
              </w:rPr>
            </w:pPr>
            <w:hyperlink r:id="rId402">
              <w:r>
                <w:rPr>
                  <w:rFonts w:ascii="Times New Roman" w:cs="Times New Roman" w:eastAsia="Times New Roman" w:hAnsi="Times New Roman"/>
                  <w:sz w:val="18"/>
                  <w:szCs w:val="18"/>
                  <w:color w:val="0000FF"/>
                  <w:w w:val="99"/>
                </w:rPr>
                <w:t>Amended and Restated 2012 Employee Stock Purchase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2560" w:type="dxa"/>
            <w:vAlign w:val="bottom"/>
            <w:tcBorders>
              <w:top w:val="single" w:sz="8" w:color="0000FF"/>
            </w:tcBorders>
            <w:gridSpan w:val="8"/>
          </w:tcPr>
          <w:p>
            <w:pPr>
              <w:spacing w:after="0"/>
              <w:rPr>
                <w:sz w:val="24"/>
                <w:szCs w:val="24"/>
                <w:color w:val="auto"/>
              </w:rPr>
            </w:pPr>
          </w:p>
        </w:tc>
        <w:tc>
          <w:tcPr>
            <w:tcW w:w="29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24"/>
                <w:szCs w:val="24"/>
                <w:color w:val="auto"/>
              </w:rPr>
            </w:pPr>
          </w:p>
        </w:tc>
        <w:tc>
          <w:tcPr>
            <w:tcW w:w="48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403">
              <w:r>
                <w:rPr>
                  <w:rFonts w:ascii="Times New Roman" w:cs="Times New Roman" w:eastAsia="Times New Roman" w:hAnsi="Times New Roman"/>
                  <w:sz w:val="18"/>
                  <w:szCs w:val="18"/>
                  <w:color w:val="0000FF"/>
                  <w:w w:val="99"/>
                </w:rPr>
                <w:t>Ambarella, Inc. Amended and Restated 2021 Equity Incentive Plan</w:t>
              </w:r>
            </w:hyperlink>
          </w:p>
        </w:tc>
        <w:tc>
          <w:tcPr>
            <w:tcW w:w="60" w:type="dxa"/>
            <w:vAlign w:val="bottom"/>
            <w:tcBorders>
              <w:bottom w:val="single" w:sz="8" w:color="0000EE"/>
            </w:tcBorders>
          </w:tcPr>
          <w:p>
            <w:pPr>
              <w:spacing w:after="0"/>
              <w:rPr>
                <w:sz w:val="24"/>
                <w:szCs w:val="24"/>
                <w:color w:val="auto"/>
              </w:rPr>
            </w:pPr>
          </w:p>
        </w:tc>
        <w:tc>
          <w:tcPr>
            <w:tcW w:w="50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4.1.2(6)*</w:t>
            </w:r>
          </w:p>
        </w:tc>
        <w:tc>
          <w:tcPr>
            <w:tcW w:w="20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Form of Stock Option Agreement under 2021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tcBorders>
              <w:right w:val="single" w:sz="8" w:color="0000EE"/>
            </w:tcBorders>
            <w:gridSpan w:val="6"/>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4.1.3(6)*</w:t>
            </w:r>
          </w:p>
        </w:tc>
        <w:tc>
          <w:tcPr>
            <w:tcW w:w="200" w:type="dxa"/>
            <w:vAlign w:val="bottom"/>
          </w:tcPr>
          <w:p>
            <w:pPr>
              <w:spacing w:after="0"/>
              <w:rPr>
                <w:sz w:val="24"/>
                <w:szCs w:val="24"/>
                <w:color w:val="auto"/>
              </w:rPr>
            </w:pPr>
          </w:p>
        </w:tc>
        <w:tc>
          <w:tcPr>
            <w:tcW w:w="54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405">
              <w:r>
                <w:rPr>
                  <w:rFonts w:ascii="Times New Roman" w:cs="Times New Roman" w:eastAsia="Times New Roman" w:hAnsi="Times New Roman"/>
                  <w:sz w:val="18"/>
                  <w:szCs w:val="18"/>
                  <w:color w:val="0000FF"/>
                  <w:w w:val="99"/>
                </w:rPr>
                <w:t>Form of Restricted Stock Unit Agreement under 2021 Equity Incentive Plan</w:t>
              </w:r>
            </w:hyperlink>
          </w:p>
        </w:tc>
        <w:tc>
          <w:tcPr>
            <w:tcW w:w="4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4.1.1(7)*</w:t>
            </w:r>
          </w:p>
        </w:tc>
        <w:tc>
          <w:tcPr>
            <w:tcW w:w="20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Oculii Corp. 2017 Stock Option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4.1.2(7)*</w:t>
            </w:r>
          </w:p>
        </w:tc>
        <w:tc>
          <w:tcPr>
            <w:tcW w:w="20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Form of Stock Option Agreement under Oculii Corp. 2017 Stock Option Plan</w:t>
              </w:r>
            </w:hyperlink>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spacing w:after="0"/>
              <w:rPr>
                <w:sz w:val="24"/>
                <w:szCs w:val="24"/>
                <w:color w:val="auto"/>
              </w:rPr>
            </w:pPr>
          </w:p>
        </w:tc>
        <w:tc>
          <w:tcPr>
            <w:tcW w:w="26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r:id="rId408">
              <w:r>
                <w:rPr>
                  <w:rFonts w:ascii="Times New Roman" w:cs="Times New Roman" w:eastAsia="Times New Roman" w:hAnsi="Times New Roman"/>
                  <w:sz w:val="18"/>
                  <w:szCs w:val="18"/>
                  <w:color w:val="0000FF"/>
                  <w:w w:val="99"/>
                </w:rPr>
                <w:t>Form of Indemnification Agreement</w:t>
              </w:r>
            </w:hyperlink>
          </w:p>
        </w:tc>
        <w:tc>
          <w:tcPr>
            <w:tcW w:w="2920" w:type="dxa"/>
            <w:vAlign w:val="bottom"/>
            <w:tcBorders>
              <w:top w:val="single" w:sz="8" w:color="0000FF"/>
            </w:tcBorders>
            <w:gridSpan w:val="12"/>
          </w:tcPr>
          <w:p>
            <w:pPr>
              <w:spacing w:after="0"/>
              <w:rPr>
                <w:sz w:val="24"/>
                <w:szCs w:val="24"/>
                <w:color w:val="auto"/>
              </w:rPr>
            </w:pPr>
          </w:p>
        </w:tc>
        <w:tc>
          <w:tcPr>
            <w:tcW w:w="4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10.6.1(8)*</w:t>
            </w:r>
          </w:p>
        </w:tc>
        <w:tc>
          <w:tcPr>
            <w:tcW w:w="200" w:type="dxa"/>
            <w:vAlign w:val="bottom"/>
          </w:tcPr>
          <w:p>
            <w:pPr>
              <w:spacing w:after="0"/>
              <w:rPr>
                <w:sz w:val="24"/>
                <w:szCs w:val="24"/>
                <w:color w:val="auto"/>
              </w:rPr>
            </w:pP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Form of Change of Control and Severance Agreement, entered into by Ambarella, Inc. with the Chief Executive Officer, Chief Financial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19"/>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Officer and Chief Technology Officer</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20" w:type="dxa"/>
            <w:vAlign w:val="bottom"/>
            <w:tcBorders>
              <w:right w:val="single" w:sz="8" w:color="0000EE"/>
            </w:tcBorders>
            <w:gridSpan w:val="2"/>
            <w:shd w:val="clear" w:color="auto" w:fill="0000FF"/>
          </w:tcPr>
          <w:p>
            <w:pPr>
              <w:spacing w:after="0" w:line="20" w:lineRule="exact"/>
              <w:rPr>
                <w:sz w:val="1"/>
                <w:szCs w:val="1"/>
                <w:color w:val="auto"/>
              </w:rPr>
            </w:pPr>
          </w:p>
        </w:tc>
        <w:tc>
          <w:tcPr>
            <w:tcW w:w="6980" w:type="dxa"/>
            <w:vAlign w:val="bottom"/>
            <w:gridSpan w:val="1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24"/>
                <w:szCs w:val="24"/>
                <w:color w:val="auto"/>
              </w:rPr>
            </w:pPr>
          </w:p>
        </w:tc>
        <w:tc>
          <w:tcPr>
            <w:tcW w:w="97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Form of Amended and Restated Change of Control and Severance Agreement, entered into by Ambarella, Inc. with its Chief Financial</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410">
              <w:r>
                <w:rPr>
                  <w:rFonts w:ascii="Times New Roman" w:cs="Times New Roman" w:eastAsia="Times New Roman" w:hAnsi="Times New Roman"/>
                  <w:sz w:val="18"/>
                  <w:szCs w:val="18"/>
                  <w:color w:val="0000FF"/>
                  <w:w w:val="96"/>
                </w:rPr>
                <w:t>Officer</w:t>
              </w:r>
            </w:hyperlink>
          </w:p>
        </w:tc>
        <w:tc>
          <w:tcPr>
            <w:tcW w:w="93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140" w:type="dxa"/>
            <w:vAlign w:val="bottom"/>
          </w:tcPr>
          <w:p>
            <w:pPr>
              <w:spacing w:after="0"/>
              <w:rPr>
                <w:sz w:val="24"/>
                <w:szCs w:val="24"/>
                <w:color w:val="auto"/>
              </w:rPr>
            </w:pPr>
          </w:p>
        </w:tc>
        <w:tc>
          <w:tcPr>
            <w:tcW w:w="5040" w:type="dxa"/>
            <w:vAlign w:val="bottom"/>
            <w:gridSpan w:val="9"/>
          </w:tcPr>
          <w:p>
            <w:pPr>
              <w:jc w:val="right"/>
              <w:ind w:right="388"/>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6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Form of Amended and Restated Change of Control and Severance Agreement, entered into by Ambarella, Inc. with executive officers</w:t>
              </w:r>
            </w:hyperlink>
          </w:p>
        </w:tc>
        <w:tc>
          <w:tcPr>
            <w:tcW w:w="2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67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other than the Chief Executive Officer, Chief Financial Officer and Chief Technology Officer</w:t>
              </w:r>
            </w:hyperlink>
          </w:p>
        </w:tc>
        <w:tc>
          <w:tcPr>
            <w:tcW w:w="20" w:type="dxa"/>
            <w:vAlign w:val="bottom"/>
            <w:tcBorders>
              <w:bottom w:val="single" w:sz="8" w:color="0000EE"/>
            </w:tcBorders>
          </w:tcPr>
          <w:p>
            <w:pPr>
              <w:spacing w:after="0"/>
              <w:rPr>
                <w:sz w:val="17"/>
                <w:szCs w:val="17"/>
                <w:color w:val="auto"/>
              </w:rPr>
            </w:pPr>
          </w:p>
        </w:tc>
        <w:tc>
          <w:tcPr>
            <w:tcW w:w="31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10.8.1(10)</w:t>
            </w:r>
          </w:p>
        </w:tc>
        <w:tc>
          <w:tcPr>
            <w:tcW w:w="9880" w:type="dxa"/>
            <w:vAlign w:val="bottom"/>
            <w:gridSpan w:val="23"/>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Sales Representative Agreement dated January 31, 2011 by and between Ambarella, Inc. and WT Microelectronics Co., Ltd.</w:t>
              </w:r>
            </w:hyperlink>
          </w:p>
        </w:tc>
        <w:tc>
          <w:tcPr>
            <w:tcW w:w="2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10.8.2(10)</w:t>
            </w:r>
          </w:p>
        </w:tc>
        <w:tc>
          <w:tcPr>
            <w:tcW w:w="98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Amendment No. 1 to Sales Representative Agreement dated February 1, 2012 by and between Ambarella, Inc. and WT Microelectronics</w:t>
              </w:r>
            </w:hyperlink>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415">
              <w:r>
                <w:rPr>
                  <w:rFonts w:ascii="Times New Roman" w:cs="Times New Roman" w:eastAsia="Times New Roman" w:hAnsi="Times New Roman"/>
                  <w:sz w:val="18"/>
                  <w:szCs w:val="18"/>
                  <w:color w:val="0000FF"/>
                  <w:w w:val="96"/>
                </w:rPr>
                <w:t>Co., Ltd.</w:t>
              </w:r>
            </w:hyperlink>
          </w:p>
        </w:tc>
        <w:tc>
          <w:tcPr>
            <w:tcW w:w="20" w:type="dxa"/>
            <w:vAlign w:val="bottom"/>
            <w:tcBorders>
              <w:bottom w:val="single" w:sz="8" w:color="0000EE"/>
            </w:tcBorders>
          </w:tcPr>
          <w:p>
            <w:pPr>
              <w:spacing w:after="0"/>
              <w:rPr>
                <w:sz w:val="17"/>
                <w:szCs w:val="17"/>
                <w:color w:val="auto"/>
              </w:rPr>
            </w:pPr>
          </w:p>
        </w:tc>
        <w:tc>
          <w:tcPr>
            <w:tcW w:w="922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10.8.3(11)</w:t>
            </w:r>
          </w:p>
        </w:tc>
        <w:tc>
          <w:tcPr>
            <w:tcW w:w="98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Amendment No. 2 to Sales Representative Agreement dated October 1, 2012 by and between Ambarella, Inc. and WT Microelectronics</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416">
              <w:r>
                <w:rPr>
                  <w:rFonts w:ascii="Times New Roman" w:cs="Times New Roman" w:eastAsia="Times New Roman" w:hAnsi="Times New Roman"/>
                  <w:sz w:val="18"/>
                  <w:szCs w:val="18"/>
                  <w:color w:val="0000FF"/>
                  <w:w w:val="96"/>
                </w:rPr>
                <w:t>Co., Ltd.</w:t>
              </w:r>
            </w:hyperlink>
          </w:p>
        </w:tc>
        <w:tc>
          <w:tcPr>
            <w:tcW w:w="20" w:type="dxa"/>
            <w:vAlign w:val="bottom"/>
            <w:tcBorders>
              <w:bottom w:val="single" w:sz="8" w:color="0000EE"/>
            </w:tcBorders>
          </w:tcPr>
          <w:p>
            <w:pPr>
              <w:spacing w:after="0"/>
              <w:rPr>
                <w:sz w:val="17"/>
                <w:szCs w:val="17"/>
                <w:color w:val="auto"/>
              </w:rPr>
            </w:pPr>
          </w:p>
        </w:tc>
        <w:tc>
          <w:tcPr>
            <w:tcW w:w="922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8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17">
              <w:r>
                <w:rPr>
                  <w:rFonts w:ascii="Times New Roman" w:cs="Times New Roman" w:eastAsia="Times New Roman" w:hAnsi="Times New Roman"/>
                  <w:sz w:val="18"/>
                  <w:szCs w:val="18"/>
                  <w:color w:val="0000FF"/>
                  <w:w w:val="99"/>
                </w:rPr>
                <w:t>Amendment to the Sales Representative Agreement dated August 1, 2015 by and between Ambarella, Inc. and WT Microelectronics Co.,</w:t>
              </w:r>
            </w:hyperlink>
          </w:p>
        </w:tc>
        <w:tc>
          <w:tcPr>
            <w:tcW w:w="20" w:type="dxa"/>
            <w:vAlign w:val="bottom"/>
            <w:tcBorders>
              <w:bottom w:val="single" w:sz="8" w:color="0000FF"/>
            </w:tcBorders>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Ltd.</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10.1(12)</w:t>
            </w:r>
          </w:p>
        </w:tc>
        <w:tc>
          <w:tcPr>
            <w:tcW w:w="97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Amendment to the Sales Representative Agreement dated June 1, 2019 by and between Ambarella, Inc. and WT Microelectronics Co.,</w:t>
              </w:r>
            </w:hyperlink>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Ltd.</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10.2(13)</w:t>
            </w:r>
          </w:p>
        </w:tc>
        <w:tc>
          <w:tcPr>
            <w:tcW w:w="98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19">
              <w:r>
                <w:rPr>
                  <w:rFonts w:ascii="Times New Roman" w:cs="Times New Roman" w:eastAsia="Times New Roman" w:hAnsi="Times New Roman"/>
                  <w:sz w:val="18"/>
                  <w:szCs w:val="18"/>
                  <w:color w:val="0000FF"/>
                  <w:w w:val="99"/>
                </w:rPr>
                <w:t>Amendment No. 6 to Sales Representative Agreement dated May 1, 2021 by and between Ambarella, Inc. and WT Microelectronics Co.,</w:t>
              </w:r>
            </w:hyperlink>
          </w:p>
        </w:tc>
        <w:tc>
          <w:tcPr>
            <w:tcW w:w="20" w:type="dxa"/>
            <w:vAlign w:val="bottom"/>
            <w:tcBorders>
              <w:bottom w:val="single" w:sz="8" w:color="0000FF"/>
            </w:tcBorders>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80" w:type="dxa"/>
            <w:vAlign w:val="bottom"/>
            <w:gridSpan w:val="23"/>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Ltd.</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10.1(14)</w:t>
            </w:r>
          </w:p>
        </w:tc>
        <w:tc>
          <w:tcPr>
            <w:tcW w:w="98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Amendment No. 7 to Sales Representative Agreement dated March 15, 2023 by and between Ambarella, Inc. and WT Microelectronics</w:t>
              </w:r>
            </w:hyperlink>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420">
              <w:r>
                <w:rPr>
                  <w:rFonts w:ascii="Times New Roman" w:cs="Times New Roman" w:eastAsia="Times New Roman" w:hAnsi="Times New Roman"/>
                  <w:sz w:val="18"/>
                  <w:szCs w:val="18"/>
                  <w:color w:val="0000FF"/>
                  <w:w w:val="96"/>
                </w:rPr>
                <w:t>Co., Ltd.</w:t>
              </w:r>
            </w:hyperlink>
          </w:p>
        </w:tc>
        <w:tc>
          <w:tcPr>
            <w:tcW w:w="20" w:type="dxa"/>
            <w:vAlign w:val="bottom"/>
            <w:tcBorders>
              <w:bottom w:val="single" w:sz="8" w:color="0000EE"/>
            </w:tcBorders>
          </w:tcPr>
          <w:p>
            <w:pPr>
              <w:spacing w:after="0"/>
              <w:rPr>
                <w:sz w:val="17"/>
                <w:szCs w:val="17"/>
                <w:color w:val="auto"/>
              </w:rPr>
            </w:pPr>
          </w:p>
        </w:tc>
        <w:tc>
          <w:tcPr>
            <w:tcW w:w="922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10.1(15)</w:t>
            </w:r>
          </w:p>
        </w:tc>
        <w:tc>
          <w:tcPr>
            <w:tcW w:w="9880" w:type="dxa"/>
            <w:vAlign w:val="bottom"/>
            <w:gridSpan w:val="23"/>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Standard Lease between Ambarella Corporation and The Realty Associates Fund XI Portfolio, L.P., dated as of August 8, 2019</w:t>
              </w:r>
            </w:hyperlink>
          </w:p>
        </w:tc>
        <w:tc>
          <w:tcPr>
            <w:tcW w:w="20" w:type="dxa"/>
            <w:vAlign w:val="bottom"/>
          </w:tcPr>
          <w:p>
            <w:pPr>
              <w:spacing w:after="0"/>
              <w:rPr>
                <w:sz w:val="24"/>
                <w:szCs w:val="24"/>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10.2(16)*</w:t>
            </w:r>
          </w:p>
        </w:tc>
        <w:tc>
          <w:tcPr>
            <w:tcW w:w="674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w w:val="99"/>
              </w:rPr>
            </w:pPr>
            <w:hyperlink r:id="rId422">
              <w:r>
                <w:rPr>
                  <w:rFonts w:ascii="Times New Roman" w:cs="Times New Roman" w:eastAsia="Times New Roman" w:hAnsi="Times New Roman"/>
                  <w:sz w:val="18"/>
                  <w:szCs w:val="18"/>
                  <w:color w:val="0000FF"/>
                  <w:w w:val="99"/>
                </w:rPr>
                <w:t>Employment letter entered into by Ambarella Corp. with John Young dated October 17, 2023</w:t>
              </w:r>
            </w:hyperlink>
          </w:p>
        </w:tc>
        <w:tc>
          <w:tcPr>
            <w:tcW w:w="20" w:type="dxa"/>
            <w:vAlign w:val="bottom"/>
            <w:tcBorders>
              <w:top w:val="single" w:sz="8" w:color="0000FF"/>
              <w:bottom w:val="single" w:sz="8" w:color="0000EE"/>
            </w:tcBorders>
          </w:tcPr>
          <w:p>
            <w:pPr>
              <w:spacing w:after="0"/>
              <w:rPr>
                <w:sz w:val="24"/>
                <w:szCs w:val="24"/>
                <w:color w:val="auto"/>
              </w:rPr>
            </w:pPr>
          </w:p>
        </w:tc>
        <w:tc>
          <w:tcPr>
            <w:tcW w:w="2400" w:type="dxa"/>
            <w:vAlign w:val="bottom"/>
            <w:tcBorders>
              <w:top w:val="single" w:sz="8" w:color="0000FF"/>
            </w:tcBorders>
            <w:gridSpan w:val="4"/>
          </w:tcPr>
          <w:p>
            <w:pPr>
              <w:spacing w:after="0"/>
              <w:rPr>
                <w:sz w:val="24"/>
                <w:szCs w:val="24"/>
                <w:color w:val="auto"/>
              </w:rPr>
            </w:pPr>
          </w:p>
        </w:tc>
        <w:tc>
          <w:tcPr>
            <w:tcW w:w="7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10.12(19)</w:t>
            </w:r>
          </w:p>
        </w:tc>
        <w:tc>
          <w:tcPr>
            <w:tcW w:w="9880" w:type="dxa"/>
            <w:vAlign w:val="bottom"/>
            <w:gridSpan w:val="23"/>
          </w:tcPr>
          <w:p>
            <w:pPr>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Lease Agreement between Ambarella Corporation and The Quad Santa Clara, LLC dated December 20, 2024</w:t>
              </w:r>
            </w:hyperlink>
          </w:p>
        </w:tc>
        <w:tc>
          <w:tcPr>
            <w:tcW w:w="20" w:type="dxa"/>
            <w:vAlign w:val="bottom"/>
          </w:tcPr>
          <w:p>
            <w:pPr>
              <w:spacing w:after="0"/>
              <w:rPr>
                <w:sz w:val="24"/>
                <w:szCs w:val="24"/>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10.13(18)</w:t>
            </w:r>
          </w:p>
        </w:tc>
        <w:tc>
          <w:tcPr>
            <w:tcW w:w="788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Description of Executive Bonus Plan for Fiscal Year 2026</w:t>
              </w:r>
            </w:hyperlink>
          </w:p>
        </w:tc>
        <w:tc>
          <w:tcPr>
            <w:tcW w:w="20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31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19.1(19)</w:t>
            </w:r>
          </w:p>
        </w:tc>
        <w:tc>
          <w:tcPr>
            <w:tcW w:w="418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Insider Trading Policy</w:t>
              </w:r>
            </w:hyperlink>
          </w:p>
        </w:tc>
        <w:tc>
          <w:tcPr>
            <w:tcW w:w="57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21.1(17)</w:t>
            </w:r>
          </w:p>
        </w:tc>
        <w:tc>
          <w:tcPr>
            <w:tcW w:w="9880" w:type="dxa"/>
            <w:vAlign w:val="bottom"/>
            <w:gridSpan w:val="23"/>
          </w:tcPr>
          <w:p>
            <w:pPr>
              <w:spacing w:after="0"/>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List of subsidiaries of Ambarella, Inc.</w:t>
              </w:r>
            </w:hyperlink>
          </w:p>
        </w:tc>
        <w:tc>
          <w:tcPr>
            <w:tcW w:w="2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20" w:type="dxa"/>
            <w:vAlign w:val="bottom"/>
          </w:tcPr>
          <w:p>
            <w:pPr>
              <w:spacing w:after="0"/>
              <w:rPr>
                <w:sz w:val="24"/>
                <w:szCs w:val="24"/>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3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Power of Attorney (included in signature page)</w:t>
            </w:r>
          </w:p>
        </w:tc>
        <w:tc>
          <w:tcPr>
            <w:tcW w:w="350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62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 15d-14(a) of the Securities Exchange Act of 1934, as</w:t>
            </w:r>
          </w:p>
        </w:tc>
        <w:tc>
          <w:tcPr>
            <w:tcW w:w="2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amended</w:t>
            </w:r>
          </w:p>
        </w:tc>
        <w:tc>
          <w:tcPr>
            <w:tcW w:w="20" w:type="dxa"/>
            <w:vAlign w:val="bottom"/>
            <w:tcBorders>
              <w:bottom w:val="single" w:sz="8" w:color="0000EE"/>
            </w:tcBorders>
          </w:tcPr>
          <w:p>
            <w:pPr>
              <w:spacing w:after="0"/>
              <w:rPr>
                <w:sz w:val="17"/>
                <w:szCs w:val="17"/>
                <w:color w:val="auto"/>
              </w:rPr>
            </w:pPr>
          </w:p>
        </w:tc>
        <w:tc>
          <w:tcPr>
            <w:tcW w:w="920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 15d-14(a) of the Securities Exchange Act of 1934, as</w:t>
            </w:r>
          </w:p>
        </w:tc>
        <w:tc>
          <w:tcPr>
            <w:tcW w:w="2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amended</w:t>
            </w:r>
          </w:p>
        </w:tc>
        <w:tc>
          <w:tcPr>
            <w:tcW w:w="20" w:type="dxa"/>
            <w:vAlign w:val="bottom"/>
            <w:tcBorders>
              <w:bottom w:val="single" w:sz="8" w:color="0000EE"/>
            </w:tcBorders>
          </w:tcPr>
          <w:p>
            <w:pPr>
              <w:spacing w:after="0"/>
              <w:rPr>
                <w:sz w:val="17"/>
                <w:szCs w:val="17"/>
                <w:color w:val="auto"/>
              </w:rPr>
            </w:pPr>
          </w:p>
        </w:tc>
        <w:tc>
          <w:tcPr>
            <w:tcW w:w="920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Required Under Rule 13a-14(b) of the Securities Exchange</w:t>
            </w:r>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amended, and 18 U.S.C. §1350</w:t>
            </w:r>
          </w:p>
        </w:tc>
        <w:tc>
          <w:tcPr>
            <w:tcW w:w="20" w:type="dxa"/>
            <w:vAlign w:val="bottom"/>
          </w:tcPr>
          <w:p>
            <w:pPr>
              <w:spacing w:after="0"/>
              <w:rPr>
                <w:sz w:val="17"/>
                <w:szCs w:val="17"/>
                <w:color w:val="auto"/>
              </w:rPr>
            </w:pPr>
          </w:p>
        </w:tc>
      </w:tr>
      <w:tr>
        <w:trPr>
          <w:trHeight w:val="31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97.1(17)</w:t>
            </w:r>
          </w:p>
        </w:tc>
        <w:tc>
          <w:tcPr>
            <w:tcW w:w="340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Compensation Recovery Policy</w:t>
              </w:r>
            </w:hyperlink>
          </w:p>
        </w:tc>
        <w:tc>
          <w:tcPr>
            <w:tcW w:w="648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2280" w:type="dxa"/>
            <w:vAlign w:val="bottom"/>
            <w:tcBorders>
              <w:right w:val="single" w:sz="8" w:color="0000EE"/>
            </w:tcBorders>
            <w:gridSpan w:val="6"/>
            <w:shd w:val="clear" w:color="auto" w:fill="0000FF"/>
          </w:tcPr>
          <w:p>
            <w:pPr>
              <w:spacing w:after="0" w:line="20" w:lineRule="exact"/>
              <w:rPr>
                <w:sz w:val="1"/>
                <w:szCs w:val="1"/>
                <w:color w:val="auto"/>
              </w:rPr>
            </w:pPr>
          </w:p>
        </w:tc>
        <w:tc>
          <w:tcPr>
            <w:tcW w:w="760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2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20" w:type="dxa"/>
            <w:vAlign w:val="bottom"/>
          </w:tcPr>
          <w:p>
            <w:pPr>
              <w:spacing w:after="0"/>
              <w:rPr>
                <w:sz w:val="20"/>
                <w:szCs w:val="20"/>
                <w:color w:val="auto"/>
              </w:rPr>
            </w:pPr>
          </w:p>
        </w:tc>
      </w:tr>
      <w:tr>
        <w:trPr>
          <w:trHeight w:val="33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20" w:type="dxa"/>
            <w:vAlign w:val="bottom"/>
          </w:tcPr>
          <w:p>
            <w:pPr>
              <w:spacing w:after="0"/>
              <w:rPr>
                <w:sz w:val="24"/>
                <w:szCs w:val="24"/>
                <w:color w:val="auto"/>
              </w:rPr>
            </w:pPr>
          </w:p>
        </w:tc>
      </w:tr>
      <w:tr>
        <w:trPr>
          <w:trHeight w:val="33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20" w:type="dxa"/>
            <w:vAlign w:val="bottom"/>
          </w:tcPr>
          <w:p>
            <w:pPr>
              <w:spacing w:after="0"/>
              <w:rPr>
                <w:sz w:val="24"/>
                <w:szCs w:val="24"/>
                <w:color w:val="auto"/>
              </w:rPr>
            </w:pPr>
          </w:p>
        </w:tc>
      </w:tr>
      <w:tr>
        <w:trPr>
          <w:trHeight w:val="33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20" w:type="dxa"/>
            <w:vAlign w:val="bottom"/>
          </w:tcPr>
          <w:p>
            <w:pPr>
              <w:spacing w:after="0"/>
              <w:rPr>
                <w:sz w:val="24"/>
                <w:szCs w:val="24"/>
                <w:color w:val="auto"/>
              </w:rPr>
            </w:pPr>
          </w:p>
        </w:tc>
      </w:tr>
      <w:tr>
        <w:trPr>
          <w:trHeight w:val="33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20" w:type="dxa"/>
            <w:vAlign w:val="bottom"/>
          </w:tcPr>
          <w:p>
            <w:pPr>
              <w:spacing w:after="0"/>
              <w:rPr>
                <w:sz w:val="24"/>
                <w:szCs w:val="24"/>
                <w:color w:val="auto"/>
              </w:rPr>
            </w:pPr>
          </w:p>
        </w:tc>
      </w:tr>
      <w:tr>
        <w:trPr>
          <w:trHeight w:val="33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20" w:type="dxa"/>
            <w:vAlign w:val="bottom"/>
          </w:tcPr>
          <w:p>
            <w:pPr>
              <w:spacing w:after="0"/>
              <w:rPr>
                <w:sz w:val="24"/>
                <w:szCs w:val="24"/>
                <w:color w:val="auto"/>
              </w:rPr>
            </w:pPr>
          </w:p>
        </w:tc>
      </w:tr>
    </w:tbl>
    <w:p>
      <w:pPr>
        <w:spacing w:after="0" w:line="103" w:lineRule="exact"/>
        <w:rPr>
          <w:sz w:val="20"/>
          <w:szCs w:val="20"/>
          <w:color w:val="auto"/>
        </w:rPr>
      </w:pPr>
    </w:p>
    <w:p>
      <w:pPr>
        <w:ind w:left="1340" w:right="80" w:hanging="1332"/>
        <w:spacing w:after="0" w:line="282" w:lineRule="auto"/>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8" w:name="page99"/>
    <w:bookmarkEnd w:id="98"/>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S-1/A (No. 333-174838) filed on September 13, 2012.</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filed on March 27, 2020.</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filed on March 30, 2017.</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8, 2015.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Form 8-K filed on June 17,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S-8 (No. 333-261244) filed on November 19,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S-8 (No. 333-261243) filed on November 19,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 (No. 333-174838) filed on June 10, 2011.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December 4,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S-1/A (No. 333-174838) filed on September 26, 2012.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S-1/A (No. 333-174838) filed on October 5, 2012.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6, 2019.</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8,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June 6,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December 6, 2019.</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December 8,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filed on March 29,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filed on February 28,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filed on 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-2607945</wp:posOffset>
            </wp:positionV>
            <wp:extent cx="9258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or compensation plans or arrangements in which directors or executive officers are eligible to participate.</w:t>
      </w:r>
    </w:p>
    <w:p>
      <w:pPr>
        <w:spacing w:after="0" w:line="27" w:lineRule="exact"/>
        <w:rPr>
          <w:sz w:val="20"/>
          <w:szCs w:val="20"/>
          <w:color w:val="auto"/>
        </w:rPr>
      </w:pPr>
    </w:p>
    <w:p>
      <w:pPr>
        <w:ind w:firstLine="8"/>
        <w:spacing w:after="0" w:line="253" w:lineRule="auto"/>
        <w:tabs>
          <w:tab w:leader="none" w:pos="1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23" w:right="399" w:bottom="1440" w:gutter="0" w:footer="0" w:header="0"/>
        </w:sectPr>
      </w:pPr>
    </w:p>
    <w:bookmarkStart w:id="99" w:name="page100"/>
    <w:bookmarkEnd w:id="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23,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John A. Young</w:t>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John A. Young,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-94615</wp:posOffset>
            </wp:positionV>
            <wp:extent cx="328295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Feng-Ming Wang and John A. Young as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to this Annual Report on Form 10-K, together with all schedules and exhibits thereto, (ii) act on, sign, and file such certificates, instruments, agreements and other documents as may be necessary or appropriate in connection therewith, and (iii) take any and all actions that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18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March 23,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608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50"/>
        </w:trPr>
        <w:tc>
          <w:tcPr>
            <w:tcW w:w="50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6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6"/>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Feng-Ming Wang</w:t>
            </w:r>
          </w:p>
        </w:tc>
        <w:tc>
          <w:tcPr>
            <w:tcW w:w="1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Chief Executive Officer, Executive Chairman and Director (Principal Executive</w:t>
            </w:r>
          </w:p>
        </w:tc>
        <w:tc>
          <w:tcPr>
            <w:tcW w:w="0" w:type="dxa"/>
            <w:vAlign w:val="bottom"/>
          </w:tcPr>
          <w:p>
            <w:pPr>
              <w:spacing w:after="0"/>
              <w:rPr>
                <w:sz w:val="1"/>
                <w:szCs w:val="1"/>
                <w:color w:val="auto"/>
              </w:rPr>
            </w:pPr>
          </w:p>
        </w:tc>
      </w:tr>
      <w:tr>
        <w:trPr>
          <w:trHeight w:val="210"/>
        </w:trPr>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Feng-Ming Wang</w:t>
            </w:r>
          </w:p>
        </w:tc>
        <w:tc>
          <w:tcPr>
            <w:tcW w:w="12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0" w:type="dxa"/>
            <w:vAlign w:val="bottom"/>
          </w:tcPr>
          <w:p>
            <w:pPr>
              <w:spacing w:after="0"/>
              <w:rPr>
                <w:sz w:val="1"/>
                <w:szCs w:val="1"/>
                <w:color w:val="auto"/>
              </w:rPr>
            </w:pPr>
          </w:p>
        </w:tc>
      </w:tr>
      <w:tr>
        <w:trPr>
          <w:trHeight w:val="394"/>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John A. Young</w:t>
            </w:r>
          </w:p>
        </w:tc>
        <w:tc>
          <w:tcPr>
            <w:tcW w:w="1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tc>
        <w:tc>
          <w:tcPr>
            <w:tcW w:w="0" w:type="dxa"/>
            <w:vAlign w:val="bottom"/>
          </w:tcPr>
          <w:p>
            <w:pPr>
              <w:spacing w:after="0"/>
              <w:rPr>
                <w:sz w:val="1"/>
                <w:szCs w:val="1"/>
                <w:color w:val="auto"/>
              </w:rPr>
            </w:pPr>
          </w:p>
        </w:tc>
      </w:tr>
      <w:tr>
        <w:trPr>
          <w:trHeight w:val="207"/>
        </w:trPr>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John A. Young</w:t>
            </w:r>
          </w:p>
        </w:tc>
        <w:tc>
          <w:tcPr>
            <w:tcW w:w="1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Chenming C. Hu</w:t>
            </w:r>
          </w:p>
        </w:tc>
        <w:tc>
          <w:tcPr>
            <w:tcW w:w="1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4"/>
        </w:trPr>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Chenming C. Hu</w:t>
            </w:r>
          </w:p>
        </w:tc>
        <w:tc>
          <w:tcPr>
            <w:tcW w:w="1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Christopher B. Paisley</w:t>
            </w:r>
          </w:p>
        </w:tc>
        <w:tc>
          <w:tcPr>
            <w:tcW w:w="1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4"/>
        </w:trPr>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Christopher B. Paisley</w:t>
            </w:r>
          </w:p>
        </w:tc>
        <w:tc>
          <w:tcPr>
            <w:tcW w:w="1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 Jeffrey Richardson</w:t>
            </w:r>
          </w:p>
        </w:tc>
        <w:tc>
          <w:tcPr>
            <w:tcW w:w="1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4"/>
        </w:trPr>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 Jeffrey Richardson</w:t>
            </w:r>
          </w:p>
        </w:tc>
        <w:tc>
          <w:tcPr>
            <w:tcW w:w="1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Hsiao-Wuen Hon</w:t>
            </w:r>
          </w:p>
        </w:tc>
        <w:tc>
          <w:tcPr>
            <w:tcW w:w="1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4"/>
        </w:trPr>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Hsiao-Wuen Hon</w:t>
            </w:r>
          </w:p>
        </w:tc>
        <w:tc>
          <w:tcPr>
            <w:tcW w:w="1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Elizabeth M. Schwarting</w:t>
            </w:r>
          </w:p>
        </w:tc>
        <w:tc>
          <w:tcPr>
            <w:tcW w:w="1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4"/>
        </w:trPr>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Elizabeth M. Schwarting</w:t>
            </w:r>
          </w:p>
        </w:tc>
        <w:tc>
          <w:tcPr>
            <w:tcW w:w="1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Chantelle Breithaupt</w:t>
            </w:r>
          </w:p>
        </w:tc>
        <w:tc>
          <w:tcPr>
            <w:tcW w:w="1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4"/>
        </w:trPr>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Chantelle Breithaupt</w:t>
            </w:r>
          </w:p>
        </w:tc>
        <w:tc>
          <w:tcPr>
            <w:tcW w:w="1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Gregory M. Bryant</w:t>
            </w:r>
          </w:p>
        </w:tc>
        <w:tc>
          <w:tcPr>
            <w:tcW w:w="1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04"/>
        </w:trPr>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Gregory M. Bryant</w:t>
            </w:r>
          </w:p>
        </w:tc>
        <w:tc>
          <w:tcPr>
            <w:tcW w:w="1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0" w:name="page101"/>
    <w:bookmarkEnd w:id="100"/>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333-261243, 333-261244, 333-184506, 333-187730, 333-195078, 333-203094, 333-210405, 333-217037, 333-224052, 333-230603, 333-237439, 333-254945, and 333-283667) of Ambarella, Inc. of our report dated March 23, 2026 relating to the financial statements and the effectiveness of internal control over financial reporting, which appears in this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Ambarella,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517"/>
        <w:spacing w:after="0" w:line="266" w:lineRule="auto"/>
        <w:tabs>
          <w:tab w:leader="none" w:pos="7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firstLine="517"/>
        <w:spacing w:after="0" w:line="266" w:lineRule="auto"/>
        <w:tabs>
          <w:tab w:leader="none" w:pos="7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20" w:firstLine="517"/>
        <w:spacing w:after="0" w:line="282" w:lineRule="auto"/>
        <w:tabs>
          <w:tab w:leader="none" w:pos="7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180" w:firstLine="517"/>
        <w:spacing w:after="0" w:line="266" w:lineRule="auto"/>
        <w:tabs>
          <w:tab w:leader="none" w:pos="7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40" w:firstLine="517"/>
        <w:spacing w:after="0" w:line="282" w:lineRule="auto"/>
        <w:tabs>
          <w:tab w:leader="none" w:pos="7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517"/>
        <w:spacing w:after="0" w:line="282" w:lineRule="auto"/>
        <w:tabs>
          <w:tab w:leader="none" w:pos="7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00" w:lineRule="exact"/>
        <w:rPr>
          <w:sz w:val="20"/>
          <w:szCs w:val="20"/>
          <w:color w:val="auto"/>
        </w:rPr>
      </w:pPr>
    </w:p>
    <w:p>
      <w:pPr>
        <w:spacing w:after="0" w:line="26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2" w:name="page103"/>
    <w:bookmarkEnd w:id="10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Young,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Ambarella,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517"/>
        <w:spacing w:after="0" w:line="266" w:lineRule="auto"/>
        <w:tabs>
          <w:tab w:leader="none" w:pos="7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firstLine="517"/>
        <w:spacing w:after="0" w:line="266" w:lineRule="auto"/>
        <w:tabs>
          <w:tab w:leader="none" w:pos="7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20" w:firstLine="517"/>
        <w:spacing w:after="0" w:line="282" w:lineRule="auto"/>
        <w:tabs>
          <w:tab w:leader="none" w:pos="7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180" w:firstLine="517"/>
        <w:spacing w:after="0" w:line="266" w:lineRule="auto"/>
        <w:tabs>
          <w:tab w:leader="none" w:pos="7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40" w:firstLine="517"/>
        <w:spacing w:after="0" w:line="282" w:lineRule="auto"/>
        <w:tabs>
          <w:tab w:leader="none" w:pos="7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517"/>
        <w:spacing w:after="0" w:line="282" w:lineRule="auto"/>
        <w:tabs>
          <w:tab w:leader="none" w:pos="7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00" w:lineRule="exact"/>
        <w:rPr>
          <w:sz w:val="20"/>
          <w:szCs w:val="20"/>
          <w:color w:val="auto"/>
        </w:rPr>
      </w:pPr>
    </w:p>
    <w:p>
      <w:pPr>
        <w:spacing w:after="0" w:line="26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John A. Young</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3" w:name="page104"/>
    <w:bookmarkEnd w:id="10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Annual Report of Ambarella, Inc. on Form 10-K for the fiscal year ended January 31, 2026 fully complies with the requirements of Section 13(a) or 15(d) of the Securities Exchange Act of 1934 and that information contained in such Annual Report on Form 10-K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16"/>
                <w:szCs w:val="16"/>
                <w:color w:val="auto"/>
              </w:rPr>
            </w:pPr>
          </w:p>
        </w:tc>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John A. Young, certify, pursuant to 18 U.S.C. Section 1350, as adopted pursuant to Section 906 of the Sarbanes-Oxley Act of 2002, that the Annual Report of Ambarella, Inc. on Form 10-K for the fiscal year ended January 31, 2026 fully complies with the requirements of Section 13(a) or 15(d) of the Securities Exchange Act of 1934 and that information contained in such Annual Report on Form 10-K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Young</w:t>
            </w:r>
          </w:p>
        </w:tc>
      </w:tr>
      <w:tr>
        <w:trPr>
          <w:trHeight w:val="191"/>
        </w:trPr>
        <w:tc>
          <w:tcPr>
            <w:tcW w:w="7400" w:type="dxa"/>
            <w:vAlign w:val="bottom"/>
          </w:tcPr>
          <w:p>
            <w:pPr>
              <w:ind w:left="6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16"/>
                <w:szCs w:val="16"/>
                <w:color w:val="auto"/>
              </w:rPr>
            </w:pPr>
          </w:p>
        </w:tc>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Young</w:t>
            </w:r>
          </w:p>
        </w:tc>
      </w:tr>
      <w:tr>
        <w:trPr>
          <w:trHeight w:val="234"/>
        </w:trPr>
        <w:tc>
          <w:tcPr>
            <w:tcW w:w="740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7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lowerRoman"/>
      <w:start w:val="3"/>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2"/>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1"/>
    </w:lvl>
  </w:abstractNum>
  <w:abstractNum w:abstractNumId="32">
    <w:nsid w:val="5072367"/>
    <w:multiLevelType w:val="hybridMultilevel"/>
    <w:lvl w:ilvl="0">
      <w:lvlJc w:val="left"/>
      <w:lvlText w:val="%1."/>
      <w:numFmt w:val="decimal"/>
      <w:start w:val="12"/>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10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411" Type="http://schemas.openxmlformats.org/officeDocument/2006/relationships/image" Target="media/image388.png"/><Relationship Id="rId412"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395" Type="http://schemas.openxmlformats.org/officeDocument/2006/relationships/hyperlink" Target="https://www.sec.gov/Archives/edgar/data/0001280263/000119312512389774/d193541dex32.htm" TargetMode="External"/><Relationship Id="rId396" Type="http://schemas.openxmlformats.org/officeDocument/2006/relationships/hyperlink" Target="https://www.sec.gov/Archives/edgar/data/1280263/000156459020013513/amba-ex41_146.htm" TargetMode="External"/><Relationship Id="rId397" Type="http://schemas.openxmlformats.org/officeDocument/2006/relationships/hyperlink" Target="https://www.sec.gov/Archives/edgar/data/0001280263/000156459017005590/amba-ex1021_529.htm" TargetMode="External"/><Relationship Id="rId398" Type="http://schemas.openxmlformats.org/officeDocument/2006/relationships/hyperlink" Target="https://www.sec.gov/Archives/edgar/data/0001280263/000119312512389774/d193541dex1022.htm" TargetMode="External"/><Relationship Id="rId399" Type="http://schemas.openxmlformats.org/officeDocument/2006/relationships/hyperlink" Target="https://www.sec.gov/Archives/edgar/data/0001280263/000119312512389774/d193541dex1023.htm" TargetMode="External"/><Relationship Id="rId400" Type="http://schemas.openxmlformats.org/officeDocument/2006/relationships/hyperlink" Target="https://www.sec.gov/Archives/edgar/data/0001280263/000119312512389774/d193541dex1024.htm" TargetMode="External"/><Relationship Id="rId401" Type="http://schemas.openxmlformats.org/officeDocument/2006/relationships/hyperlink" Target="https://www.sec.gov/Archives/edgar/data/0001280263/000156459017005590/amba-ex1025_629.htm" TargetMode="External"/><Relationship Id="rId402" Type="http://schemas.openxmlformats.org/officeDocument/2006/relationships/hyperlink" Target="https://www.sec.gov/Archives/edgar/data/0001280263/000156459015007784/amba-ex101_178.htm" TargetMode="External"/><Relationship Id="rId403" Type="http://schemas.openxmlformats.org/officeDocument/2006/relationships/hyperlink" Target="https://www.sec.gov/Archives/edgar/data/1280263/000119312524162670/d822730dex101.htm" TargetMode="External"/><Relationship Id="rId404" Type="http://schemas.openxmlformats.org/officeDocument/2006/relationships/hyperlink" Target="https://www.sec.gov/Archives/edgar/data/1280263/000119312521335319/d190533dex412.htm" TargetMode="External"/><Relationship Id="rId405" Type="http://schemas.openxmlformats.org/officeDocument/2006/relationships/hyperlink" Target="https://www.sec.gov/Archives/edgar/data/1280263/000119312521335319/d190533dex413.htm" TargetMode="External"/><Relationship Id="rId406" Type="http://schemas.openxmlformats.org/officeDocument/2006/relationships/hyperlink" Target="https://www.sec.gov/Archives/edgar/data/1280263/000119312521335314/d191443dex411.htm" TargetMode="External"/><Relationship Id="rId407" Type="http://schemas.openxmlformats.org/officeDocument/2006/relationships/hyperlink" Target="https://www.sec.gov/Archives/edgar/data/1280263/000119312521335314/d191443dex412.htm" TargetMode="External"/><Relationship Id="rId408" Type="http://schemas.openxmlformats.org/officeDocument/2006/relationships/hyperlink" Target="https://www.sec.gov/Archives/edgar/data/0001280263/000119312512389774/d193541dex104.htm" TargetMode="External"/><Relationship Id="rId409" Type="http://schemas.openxmlformats.org/officeDocument/2006/relationships/hyperlink" Target="https://www.sec.gov/Archives/edgar/data/0001280263/000119312511162978/dex1061.htm" TargetMode="External"/><Relationship Id="rId410" Type="http://schemas.openxmlformats.org/officeDocument/2006/relationships/hyperlink" Target="https://www.sec.gov/Archives/edgar/data/1280263/000119312525307917/amba-ex10_1.htm" TargetMode="External"/><Relationship Id="rId413" Type="http://schemas.openxmlformats.org/officeDocument/2006/relationships/hyperlink" Target="https://www.sec.gov/Archives/edgar/data/1280263/000119312525307917/amba-ex10_2.htm" TargetMode="External"/><Relationship Id="rId414" Type="http://schemas.openxmlformats.org/officeDocument/2006/relationships/hyperlink" Target="https://www.sec.gov/Archives/edgar/data/0001280263/000119312512405005/d193541dex1081.htm" TargetMode="External"/><Relationship Id="rId415" Type="http://schemas.openxmlformats.org/officeDocument/2006/relationships/hyperlink" Target="https://www.sec.gov/Archives/edgar/data/0001280263/000119312512405005/d193541dex1082.htm" TargetMode="External"/><Relationship Id="rId416" Type="http://schemas.openxmlformats.org/officeDocument/2006/relationships/hyperlink" Target="https://www.sec.gov/Archives/edgar/data/0001280263/000119312512416751/d193541dex1083.htm" TargetMode="External"/><Relationship Id="rId417" Type="http://schemas.openxmlformats.org/officeDocument/2006/relationships/hyperlink" Target="https://www.sec.gov/Archives/edgar/data/0001280263/000156459015007784/amba-ex102_192.htm" TargetMode="External"/><Relationship Id="rId418" Type="http://schemas.openxmlformats.org/officeDocument/2006/relationships/hyperlink" Target="https://www.sec.gov/Archives/edgar/data/1280263/000156459019034237/amba-ex101_195.htm" TargetMode="External"/><Relationship Id="rId419" Type="http://schemas.openxmlformats.org/officeDocument/2006/relationships/hyperlink" Target="https://www.sec.gov/Archives/edgar/data/0001280263/000156459021047305/amba-ex102_136.htm" TargetMode="External"/><Relationship Id="rId420" Type="http://schemas.openxmlformats.org/officeDocument/2006/relationships/hyperlink" Target="https://www.sec.gov/Archives/edgar/data/1280263/000095017023026602/amba-ex10_1.htm" TargetMode="External"/><Relationship Id="rId421" Type="http://schemas.openxmlformats.org/officeDocument/2006/relationships/hyperlink" Target="https://www.sec.gov/Archives/edgar/data/1280263/000156459019045444/amba-ex101_152.htm" TargetMode="External"/><Relationship Id="rId422" Type="http://schemas.openxmlformats.org/officeDocument/2006/relationships/hyperlink" Target="https://www.sec.gov/Archives/edgar/data/1280263/000095017023068983/amba-ex10_2.htm" TargetMode="External"/><Relationship Id="rId423" Type="http://schemas.openxmlformats.org/officeDocument/2006/relationships/hyperlink" Target="https://www.sec.gov/Archives/edgar/data/1280263/000095017025046499/amba-ex10_12.htm" TargetMode="External"/><Relationship Id="rId424" Type="http://schemas.openxmlformats.org/officeDocument/2006/relationships/hyperlink" Target="https://www.sec.gov/ix?doc=/Archives/edgar/data/1280263/000119312525042642/d906585d8k.htm" TargetMode="External"/><Relationship Id="rId425" Type="http://schemas.openxmlformats.org/officeDocument/2006/relationships/hyperlink" Target="https://www.sec.gov/Archives/edgar/data/1280263/000095017025046499/amba-ex19_1.htm" TargetMode="External"/><Relationship Id="rId426" Type="http://schemas.openxmlformats.org/officeDocument/2006/relationships/hyperlink" Target="https://www.sec.gov/Archives/edgar/data/1280263/000095017024038555/amba-ex21_1.htm" TargetMode="External"/><Relationship Id="rId427" Type="http://schemas.openxmlformats.org/officeDocument/2006/relationships/hyperlink" Target="https://www.sec.gov/Archives/edgar/data/1280263/000095017024038555/amb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2026-03-23T13:20:28Z</dcterms:created>
  <dcterms:modified xsi:type="dcterms:W3CDTF">2026-03-23T13:20:28Z</dcterms:modified>
</cp:coreProperties>
</file>