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Bryant Gregory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TASMAN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AMBARELLA INC</w:t>
              </w:r>
            </w:hyperlink>
            <w:r>
              <w:rPr/>
              <w:t xml:space="preserve"> [ </w:t>
            </w:r>
            <w:r>
              <w:rPr>
                <w:rFonts w:ascii="Times;serif" w:hAnsi="Times;serif"/>
                <w:color w:val="0000FF"/>
                <w:sz w:val="24"/>
                <w:shd w:fill="FFFFFF" w:val="clear"/>
              </w:rPr>
              <w:t>AMBA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3,151</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5,608</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as of September 8, 2026, the Board of Directors approved an annual restricted stock unit grant of 3,151 Ordinary Shares to each independent director. The RSU grant vests as to 1/4th of the Ordinary Shares each three months following the vesting start date of September 15, 2026, so as to be 100% vested on September 15, 2027, subject to continued service with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/s/Michael Morehead, Attorney-in-Fact, For: Gregory M. Bryant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8745" TargetMode="External"/><Relationship Id="rId5" Type="http://schemas.openxmlformats.org/officeDocument/2006/relationships/hyperlink" Target="http://www.sec.gov/cgi-bin/browse-edgar?action=getcompany&amp;CIK=00012802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3391</Characters>
  <CharactersWithSpaces>3954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