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80" w:hanging="572"/>
        <w:spacing w:after="0" w:line="245" w:lineRule="auto"/>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-295910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6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-307340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5"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44"/>
        </w:trPr>
        <w:tc>
          <w:tcPr>
            <w:tcW w:w="36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$0.00045 Par Value Per Share</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3"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1580"/>
        <w:spacing w:after="0" w:line="26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December 2, 2020 was 35,172,037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20" w:type="dxa"/>
            <w:vAlign w:val="bottom"/>
          </w:tcPr>
          <w:p>
            <w:pPr>
              <w:spacing w:after="0"/>
              <w:rPr>
                <w:sz w:val="13"/>
                <w:szCs w:val="13"/>
                <w:color w:val="auto"/>
              </w:rPr>
            </w:pPr>
          </w:p>
        </w:tc>
      </w:tr>
      <w:tr>
        <w:trPr>
          <w:trHeight w:val="453"/>
        </w:trPr>
        <w:tc>
          <w:tcPr>
            <w:tcW w:w="10820" w:type="dxa"/>
            <w:vAlign w:val="bottom"/>
            <w:gridSpan w:val="6"/>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38"/>
        </w:trPr>
        <w:tc>
          <w:tcPr>
            <w:tcW w:w="880" w:type="dxa"/>
            <w:vAlign w:val="bottom"/>
          </w:tcPr>
          <w:p>
            <w:pPr>
              <w:spacing w:after="0"/>
              <w:rPr>
                <w:sz w:val="24"/>
                <w:szCs w:val="24"/>
                <w:color w:val="auto"/>
              </w:rPr>
            </w:pP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Condensed Consolidated Balance Sheets at October 31, 2020 and January 31, 2020</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38"/>
        </w:trPr>
        <w:tc>
          <w:tcPr>
            <w:tcW w:w="880" w:type="dxa"/>
            <w:vAlign w:val="bottom"/>
          </w:tcPr>
          <w:p>
            <w:pPr>
              <w:spacing w:after="0"/>
              <w:rPr>
                <w:sz w:val="24"/>
                <w:szCs w:val="24"/>
                <w:color w:val="auto"/>
              </w:rPr>
            </w:pP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Condensed Consolidated Statements of Operations for the three and nine months ended October 31, 2020 and 2019</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880" w:type="dxa"/>
            <w:vAlign w:val="bottom"/>
          </w:tcPr>
          <w:p>
            <w:pPr>
              <w:spacing w:after="0"/>
              <w:rPr>
                <w:sz w:val="24"/>
                <w:szCs w:val="24"/>
                <w:color w:val="auto"/>
              </w:rPr>
            </w:pPr>
          </w:p>
        </w:tc>
        <w:tc>
          <w:tcPr>
            <w:tcW w:w="9940" w:type="dxa"/>
            <w:vAlign w:val="bottom"/>
            <w:gridSpan w:val="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Comprehensive Loss for the three and nine months ended October 31, 2020 and</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2019</w:t>
              </w:r>
            </w:hyperlink>
          </w:p>
        </w:tc>
        <w:tc>
          <w:tcPr>
            <w:tcW w:w="884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7"/>
        </w:trPr>
        <w:tc>
          <w:tcPr>
            <w:tcW w:w="880" w:type="dxa"/>
            <w:vAlign w:val="bottom"/>
          </w:tcPr>
          <w:p>
            <w:pPr>
              <w:spacing w:after="0"/>
              <w:rPr>
                <w:sz w:val="24"/>
                <w:szCs w:val="24"/>
                <w:color w:val="auto"/>
              </w:rPr>
            </w:pPr>
          </w:p>
        </w:tc>
        <w:tc>
          <w:tcPr>
            <w:tcW w:w="9940" w:type="dxa"/>
            <w:vAlign w:val="bottom"/>
            <w:gridSpan w:val="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Shareholders’ Equity for the three and nine months ended October 31, 2020 and</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2019</w:t>
              </w:r>
            </w:hyperlink>
          </w:p>
        </w:tc>
        <w:tc>
          <w:tcPr>
            <w:tcW w:w="220" w:type="dxa"/>
            <w:vAlign w:val="bottom"/>
            <w:tcBorders>
              <w:top w:val="single" w:sz="8" w:color="0000EE"/>
            </w:tcBorders>
          </w:tcPr>
          <w:p>
            <w:pPr>
              <w:spacing w:after="0"/>
              <w:rPr>
                <w:sz w:val="17"/>
                <w:szCs w:val="17"/>
                <w:color w:val="auto"/>
              </w:rPr>
            </w:pPr>
          </w:p>
        </w:tc>
        <w:tc>
          <w:tcPr>
            <w:tcW w:w="884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58"/>
        </w:trPr>
        <w:tc>
          <w:tcPr>
            <w:tcW w:w="880" w:type="dxa"/>
            <w:vAlign w:val="bottom"/>
          </w:tcPr>
          <w:p>
            <w:pPr>
              <w:spacing w:after="0"/>
              <w:rPr>
                <w:sz w:val="24"/>
                <w:szCs w:val="24"/>
                <w:color w:val="auto"/>
              </w:rPr>
            </w:pP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Unaudited Condensed Consolidated Statements of Cash Flows for the nine months ended October 31, 2020 and 2019</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38"/>
        </w:trPr>
        <w:tc>
          <w:tcPr>
            <w:tcW w:w="880" w:type="dxa"/>
            <w:vAlign w:val="bottom"/>
          </w:tcPr>
          <w:p>
            <w:pPr>
              <w:spacing w:after="0"/>
              <w:rPr>
                <w:sz w:val="24"/>
                <w:szCs w:val="24"/>
                <w:color w:val="auto"/>
              </w:rPr>
            </w:pP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Unaudited Condensed Consolidated Financial Statements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Quantitative and Qualitative Disclosures About Market Risk</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Controls and Procedures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59"/>
        </w:trPr>
        <w:tc>
          <w:tcPr>
            <w:tcW w:w="10820" w:type="dxa"/>
            <w:vAlign w:val="bottom"/>
            <w:gridSpan w:val="6"/>
          </w:tcPr>
          <w:p>
            <w:pPr>
              <w:spacing w:after="0"/>
              <w:rPr>
                <w:rFonts w:ascii="Times New Roman" w:cs="Times New Roman" w:eastAsia="Times New Roman" w:hAnsi="Times New Roman"/>
                <w:sz w:val="18"/>
                <w:szCs w:val="18"/>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PART II. OTHER INFORMATION</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Legal Proceedings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Risk Factors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Unregistered Sales of Equity Securities and Use of Proceeds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40" w:type="dxa"/>
            <w:vAlign w:val="bottom"/>
            <w:gridSpan w:val="5"/>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Exhibits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38"/>
        </w:trPr>
        <w:tc>
          <w:tcPr>
            <w:tcW w:w="88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Signatures</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213"/>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225,508</w:t>
            </w:r>
          </w:p>
        </w:tc>
        <w:tc>
          <w:tcPr>
            <w:tcW w:w="5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198,129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549,555</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18,007</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86,902</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Preference shares, $0.00045 par value per share, 20,000,000 shares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and no shares issued and outstanding at October 31, 2020 and</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January 31, 2020, respectively</w:t>
            </w: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shares, $0.00045 par value per share, 200,000,000 shares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authorized at October 31, 2020 and January 31, 2020, respectively;</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35,072,089 shares issued and outstanding at October 31, 2020; 33,805,609</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January 31, 2020</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322,502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138,772</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462,653</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549,555</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60" w:type="dxa"/>
            <w:vAlign w:val="bottom"/>
          </w:tcPr>
          <w:p>
            <w:pPr>
              <w:spacing w:after="0"/>
              <w:rPr>
                <w:sz w:val="15"/>
                <w:szCs w:val="15"/>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63,078</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97,770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(16,249)</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(7,168)</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(47,153)</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(35,817)</w:t>
            </w: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(15,576)</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(5,251)</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(43,922)</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(29,509)</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0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(17,078)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(47,297)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(31,811)</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shareholders: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34,819,880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33,304,171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34,460,172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32,885,729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34,819,880</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33,304,171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34,460,172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32,885,729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0" w:type="dxa"/>
            <w:vAlign w:val="bottom"/>
          </w:tcPr>
          <w:p>
            <w:pPr>
              <w:spacing w:after="0"/>
              <w:rPr>
                <w:sz w:val="15"/>
                <w:szCs w:val="15"/>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55"/>
        </w:trPr>
        <w:tc>
          <w:tcPr>
            <w:tcW w:w="58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(31,811)</w:t>
            </w:r>
          </w:p>
        </w:tc>
        <w:tc>
          <w:tcPr>
            <w:tcW w:w="100" w:type="dxa"/>
            <w:vAlign w:val="bottom"/>
            <w:shd w:val="clear" w:color="auto" w:fill="CFF0FC"/>
          </w:tcPr>
          <w:p>
            <w:pPr>
              <w:spacing w:after="0"/>
              <w:rPr>
                <w:sz w:val="19"/>
                <w:szCs w:val="19"/>
                <w:color w:val="auto"/>
              </w:rPr>
            </w:pP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0"/>
                <w:szCs w:val="20"/>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780" w:type="dxa"/>
            <w:vAlign w:val="bottom"/>
            <w:gridSpan w:val="4"/>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780" w:type="dxa"/>
            <w:vAlign w:val="bottom"/>
            <w:tcBorders>
              <w:bottom w:val="single" w:sz="8" w:color="auto"/>
            </w:tcBorders>
            <w:gridSpan w:val="4"/>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7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Balance--January 31, 2020</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33,805,609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3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261,220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768</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186,069</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448,072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incentive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83,564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(25,719)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39"/>
        </w:trPr>
        <w:tc>
          <w:tcPr>
            <w:tcW w:w="47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stock awards granted to</w:t>
            </w: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15,214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employees and consultants</w:t>
            </w: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unrealized losses on investments -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(363)</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(15,463)</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(15,463)</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Balance--April 30, 2020</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34,342,097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284,557</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w:t>
            </w:r>
          </w:p>
        </w:tc>
        <w:tc>
          <w:tcPr>
            <w:tcW w:w="2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170,606</w:t>
            </w:r>
          </w:p>
        </w:tc>
        <w:tc>
          <w:tcPr>
            <w:tcW w:w="2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455,583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0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4"/>
                <w:szCs w:val="14"/>
                <w:color w:val="auto"/>
              </w:rPr>
              <w:t>Issuance of shares through employee equity incentive plan</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268,739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344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stock awards granted to</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employees and consultants</w:t>
            </w: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unrealized gains on investments - net of tax</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(14,756)</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(14,756)</w:t>
            </w:r>
          </w:p>
        </w:tc>
        <w:tc>
          <w:tcPr>
            <w:tcW w:w="0" w:type="dxa"/>
            <w:vAlign w:val="bottom"/>
          </w:tcPr>
          <w:p>
            <w:pPr>
              <w:spacing w:after="0"/>
              <w:rPr>
                <w:sz w:val="1"/>
                <w:szCs w:val="1"/>
                <w:color w:val="auto"/>
              </w:rPr>
            </w:pPr>
          </w:p>
        </w:tc>
      </w:tr>
      <w:tr>
        <w:trPr>
          <w:trHeight w:val="156"/>
        </w:trPr>
        <w:tc>
          <w:tcPr>
            <w:tcW w:w="4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Balance--July 31, 2020</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34,610,836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301,195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1,587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155,850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458,647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incentive plan</w:t>
            </w: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vMerge w:val="continue"/>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361,886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1,102</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7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stock awards granted to</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17,041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employees and consultants</w:t>
            </w: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unrealized losses on investments - net of tax</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(224)</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(17,078)</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(17,078)</w:t>
            </w:r>
          </w:p>
        </w:tc>
        <w:tc>
          <w:tcPr>
            <w:tcW w:w="0" w:type="dxa"/>
            <w:vAlign w:val="bottom"/>
          </w:tcPr>
          <w:p>
            <w:pPr>
              <w:spacing w:after="0"/>
              <w:rPr>
                <w:sz w:val="1"/>
                <w:szCs w:val="1"/>
                <w:color w:val="auto"/>
              </w:rPr>
            </w:pPr>
          </w:p>
        </w:tc>
      </w:tr>
      <w:tr>
        <w:trPr>
          <w:trHeight w:val="156"/>
        </w:trPr>
        <w:tc>
          <w:tcPr>
            <w:tcW w:w="4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Balance--October 31, 2020</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35,072,089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3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322,502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1,363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138,772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462,653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780" w:type="dxa"/>
            <w:vAlign w:val="bottom"/>
            <w:gridSpan w:val="4"/>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780" w:type="dxa"/>
            <w:vAlign w:val="bottom"/>
            <w:tcBorders>
              <w:bottom w:val="single" w:sz="8" w:color="auto"/>
            </w:tcBorders>
            <w:gridSpan w:val="4"/>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Balance--January 31, 2019</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32,303,540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3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188,516</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97</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230,861</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419,489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incentive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99,759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7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stock awards granted to</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employees and consultants</w:t>
            </w: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unrealized gains on investments - net of tax</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(17,311)</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(17,311)</w:t>
            </w:r>
          </w:p>
        </w:tc>
        <w:tc>
          <w:tcPr>
            <w:tcW w:w="0" w:type="dxa"/>
            <w:vAlign w:val="bottom"/>
          </w:tcPr>
          <w:p>
            <w:pPr>
              <w:spacing w:after="0"/>
              <w:rPr>
                <w:sz w:val="1"/>
                <w:szCs w:val="1"/>
                <w:color w:val="auto"/>
              </w:rPr>
            </w:pPr>
          </w:p>
        </w:tc>
      </w:tr>
      <w:tr>
        <w:trPr>
          <w:trHeight w:val="155"/>
        </w:trPr>
        <w:tc>
          <w:tcPr>
            <w:tcW w:w="4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Balance--April 30, 2019</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32,738,600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208,522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213,550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422,438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incentive plan</w:t>
            </w: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vMerge w:val="continue"/>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295,019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988</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stock awards granted to</w:t>
            </w: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employees and consultants</w:t>
            </w: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unrealized gains on investments -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(10,191)</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(10,191)</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Balance--July 31, 2019</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33,033,619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224,542</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545</w:t>
            </w:r>
          </w:p>
        </w:tc>
        <w:tc>
          <w:tcPr>
            <w:tcW w:w="2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203,359</w:t>
            </w:r>
          </w:p>
        </w:tc>
        <w:tc>
          <w:tcPr>
            <w:tcW w:w="2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428,461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0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4"/>
                <w:szCs w:val="14"/>
                <w:color w:val="auto"/>
              </w:rPr>
              <w:t>Issuance of shares through employee equity incentive plan</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428,600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2,711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2,711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7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stock awards granted to</w:t>
            </w: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employees and consultants</w:t>
            </w: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unrealized gains on investments -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(4,309)</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(4,309)</w:t>
            </w:r>
          </w:p>
        </w:tc>
        <w:tc>
          <w:tcPr>
            <w:tcW w:w="0" w:type="dxa"/>
            <w:vAlign w:val="bottom"/>
          </w:tcPr>
          <w:p>
            <w:pPr>
              <w:spacing w:after="0"/>
              <w:rPr>
                <w:sz w:val="1"/>
                <w:szCs w:val="1"/>
                <w:color w:val="auto"/>
              </w:rPr>
            </w:pPr>
          </w:p>
        </w:tc>
      </w:tr>
      <w:tr>
        <w:trPr>
          <w:trHeight w:val="155"/>
        </w:trPr>
        <w:tc>
          <w:tcPr>
            <w:tcW w:w="47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Balance--October 31, 2019</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33,540,324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245,490</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685</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199,050</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445,240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1740" w:type="dxa"/>
            <w:vAlign w:val="bottom"/>
            <w:gridSpan w:val="2"/>
          </w:tcPr>
          <w:p>
            <w:pPr>
              <w:jc w:val="right"/>
              <w:ind w:right="74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(47,297)</w:t>
            </w:r>
          </w:p>
        </w:tc>
        <w:tc>
          <w:tcPr>
            <w:tcW w:w="900" w:type="dxa"/>
            <w:vAlign w:val="bottom"/>
            <w:gridSpan w:val="2"/>
          </w:tcPr>
          <w:p>
            <w:pPr>
              <w:jc w:val="right"/>
              <w:ind w:right="76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(31,811)</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8,231</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(879)</w:t>
            </w: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49,968</w:t>
            </w:r>
          </w:p>
        </w:tc>
        <w:tc>
          <w:tcPr>
            <w:tcW w:w="120" w:type="dxa"/>
            <w:vAlign w:val="bottom"/>
          </w:tcPr>
          <w:p>
            <w:pPr>
              <w:spacing w:after="0"/>
              <w:rPr>
                <w:sz w:val="18"/>
                <w:szCs w:val="18"/>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income taxes</w:t>
            </w:r>
          </w:p>
        </w:tc>
        <w:tc>
          <w:tcPr>
            <w:tcW w:w="8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FF0FC"/>
          </w:tcPr>
          <w:p>
            <w:pPr>
              <w:spacing w:after="0"/>
              <w:rPr>
                <w:sz w:val="19"/>
                <w:szCs w:val="19"/>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non-cash items, net</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(5,624)</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(741)</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(1,593)</w:t>
            </w: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assets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(2,974)</w:t>
            </w: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(297)</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5,896</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9,887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3,658</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Income taxes payable</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w:t>
            </w: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FF0FC"/>
          </w:tcPr>
          <w:p>
            <w:pPr>
              <w:spacing w:after="0"/>
              <w:rPr>
                <w:sz w:val="18"/>
                <w:szCs w:val="18"/>
                <w:color w:val="auto"/>
              </w:rPr>
            </w:pPr>
          </w:p>
        </w:tc>
      </w:tr>
      <w:tr>
        <w:trPr>
          <w:trHeight w:val="229"/>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Lease Liabilities</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(1,656)</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(2,238)</w:t>
            </w: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8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20" w:type="dxa"/>
            <w:vAlign w:val="bottom"/>
            <w:shd w:val="clear" w:color="auto" w:fill="CFF0FC"/>
          </w:tcPr>
          <w:p>
            <w:pPr>
              <w:spacing w:after="0"/>
              <w:rPr>
                <w:sz w:val="18"/>
                <w:szCs w:val="18"/>
                <w:color w:val="auto"/>
              </w:rPr>
            </w:pPr>
          </w:p>
        </w:tc>
      </w:tr>
      <w:tr>
        <w:trPr>
          <w:trHeight w:val="210"/>
        </w:trPr>
        <w:tc>
          <w:tcPr>
            <w:tcW w:w="69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4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18,316</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20" w:type="dxa"/>
            <w:vAlign w:val="bottom"/>
            <w:tcBorders>
              <w:bottom w:val="single" w:sz="8" w:color="CFF0FC"/>
            </w:tcBorders>
          </w:tcPr>
          <w:p>
            <w:pPr>
              <w:spacing w:after="0"/>
              <w:rPr>
                <w:sz w:val="18"/>
                <w:szCs w:val="18"/>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investments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9"/>
              </w:rPr>
              <w:t>(175,265)</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(160,988)</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Sales of investments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57,936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72,773</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92,897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105,995</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(1,529)</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(1,425)</w:t>
            </w:r>
          </w:p>
        </w:tc>
      </w:tr>
      <w:tr>
        <w:trPr>
          <w:trHeight w:val="210"/>
        </w:trPr>
        <w:tc>
          <w:tcPr>
            <w:tcW w:w="69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840" w:type="dxa"/>
            <w:vAlign w:val="bottom"/>
            <w:tcBorders>
              <w:bottom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(25,961)</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16,355</w:t>
            </w:r>
          </w:p>
        </w:tc>
        <w:tc>
          <w:tcPr>
            <w:tcW w:w="120" w:type="dxa"/>
            <w:vAlign w:val="bottom"/>
            <w:tcBorders>
              <w:bottom w:val="single" w:sz="8" w:color="CFF0FC"/>
            </w:tcBorders>
          </w:tcPr>
          <w:p>
            <w:pPr>
              <w:spacing w:after="0"/>
              <w:rPr>
                <w:sz w:val="18"/>
                <w:szCs w:val="18"/>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Stock repurchase</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6,504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9,552</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Payment for intangible asset</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(3,753)</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(2,930)</w:t>
            </w:r>
          </w:p>
        </w:tc>
      </w:tr>
      <w:tr>
        <w:trPr>
          <w:trHeight w:val="210"/>
        </w:trPr>
        <w:tc>
          <w:tcPr>
            <w:tcW w:w="69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6,622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58,261</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8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231,412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194,058</w:t>
            </w:r>
          </w:p>
        </w:tc>
        <w:tc>
          <w:tcPr>
            <w:tcW w:w="120" w:type="dxa"/>
            <w:vAlign w:val="bottom"/>
            <w:shd w:val="clear" w:color="auto" w:fill="CFF0FC"/>
          </w:tcPr>
          <w:p>
            <w:pPr>
              <w:spacing w:after="0"/>
              <w:rPr>
                <w:sz w:val="18"/>
                <w:szCs w:val="18"/>
                <w:color w:val="auto"/>
              </w:rPr>
            </w:pPr>
          </w:p>
        </w:tc>
      </w:tr>
      <w:tr>
        <w:trPr>
          <w:trHeight w:val="250"/>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84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225,518</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252,319</w:t>
            </w:r>
          </w:p>
        </w:tc>
        <w:tc>
          <w:tcPr>
            <w:tcW w:w="120" w:type="dxa"/>
            <w:vAlign w:val="bottom"/>
            <w:tcBorders>
              <w:bottom w:val="single" w:sz="8" w:color="CFF0FC"/>
            </w:tcBorders>
          </w:tcPr>
          <w:p>
            <w:pPr>
              <w:spacing w:after="0"/>
              <w:rPr>
                <w:sz w:val="21"/>
                <w:szCs w:val="21"/>
                <w:color w:val="auto"/>
              </w:rPr>
            </w:pPr>
          </w:p>
        </w:tc>
      </w:tr>
      <w:tr>
        <w:trPr>
          <w:trHeight w:val="19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740" w:type="dxa"/>
            <w:vAlign w:val="bottom"/>
            <w:gridSpan w:val="2"/>
          </w:tcPr>
          <w:p>
            <w:pPr>
              <w:jc w:val="right"/>
              <w:ind w:right="74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280" w:type="dxa"/>
            <w:vAlign w:val="bottom"/>
          </w:tcPr>
          <w:p>
            <w:pPr>
              <w:spacing w:after="0"/>
              <w:rPr>
                <w:sz w:val="22"/>
                <w:szCs w:val="22"/>
                <w:color w:val="auto"/>
              </w:rPr>
            </w:pPr>
          </w:p>
        </w:tc>
        <w:tc>
          <w:tcPr>
            <w:tcW w:w="900" w:type="dxa"/>
            <w:vAlign w:val="bottom"/>
            <w:gridSpan w:val="2"/>
          </w:tcPr>
          <w:p>
            <w:pPr>
              <w:jc w:val="right"/>
              <w:ind w:right="76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120" w:type="dxa"/>
            <w:vAlign w:val="bottom"/>
          </w:tcPr>
          <w:p>
            <w:pPr>
              <w:spacing w:after="0"/>
              <w:rPr>
                <w:sz w:val="22"/>
                <w:szCs w:val="22"/>
                <w:color w:val="auto"/>
              </w:rPr>
            </w:pPr>
          </w:p>
        </w:tc>
      </w:tr>
      <w:tr>
        <w:trPr>
          <w:trHeight w:val="196"/>
        </w:trPr>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8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Unpaid liabilities related to intangible and fixed assets additions</w:t>
            </w:r>
          </w:p>
        </w:tc>
        <w:tc>
          <w:tcPr>
            <w:tcW w:w="1740" w:type="dxa"/>
            <w:vAlign w:val="bottom"/>
            <w:gridSpan w:val="2"/>
          </w:tcPr>
          <w:p>
            <w:pPr>
              <w:jc w:val="right"/>
              <w:ind w:right="74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3,656</w:t>
            </w:r>
          </w:p>
        </w:tc>
        <w:tc>
          <w:tcPr>
            <w:tcW w:w="280" w:type="dxa"/>
            <w:vAlign w:val="bottom"/>
          </w:tcPr>
          <w:p>
            <w:pPr>
              <w:spacing w:after="0"/>
              <w:rPr>
                <w:sz w:val="18"/>
                <w:szCs w:val="18"/>
                <w:color w:val="auto"/>
              </w:rPr>
            </w:pPr>
          </w:p>
        </w:tc>
        <w:tc>
          <w:tcPr>
            <w:tcW w:w="900" w:type="dxa"/>
            <w:vAlign w:val="bottom"/>
            <w:gridSpan w:val="2"/>
          </w:tcPr>
          <w:p>
            <w:pPr>
              <w:jc w:val="right"/>
              <w:ind w:right="76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20" w:right="6260" w:hanging="512"/>
        <w:spacing w:after="0" w:line="378" w:lineRule="auto"/>
        <w:tabs>
          <w:tab w:leader="none" w:pos="19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image processing, and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delivering exceptional video and image quality, differentiated functionality and low power consumption. The Company is currently addressing a broad range of human and computer vision applications, including professional and consumer security cameras, automotive cameras such as advanced driver assistance systems (ADAS), electronic mirrors, drive recorders, driver/cabin monitoring systems, autonomous driving, and industrial and robotic applications.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sells its solutions to leading original design manufacturers, or ODMs, and original equipment manufacturers, or OEMs, globally.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2020 fiscal year filed with the SEC on March 27, 2020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an ongoing basis, management evaluates its estimates and assumptions, including those related to (i) the collectability of accounts receivable;</w:t>
      </w:r>
    </w:p>
    <w:p>
      <w:pPr>
        <w:spacing w:after="0" w:line="27" w:lineRule="exact"/>
        <w:rPr>
          <w:sz w:val="20"/>
          <w:szCs w:val="20"/>
          <w:color w:val="auto"/>
        </w:rPr>
      </w:pPr>
    </w:p>
    <w:p>
      <w:pPr>
        <w:ind w:firstLine="8"/>
        <w:spacing w:after="0" w:line="25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down of excess and obsolete inventories; (iii) intangible assets and goodwill; (iv) the estimated useful lives of long-lived assets; (v) impairment of long-lived assets and financial instruments; (vi) warranty obligations; (vii) the valuation of stock-based compensation awards and financial instruments;</w:t>
      </w:r>
    </w:p>
    <w:p>
      <w:pPr>
        <w:ind w:right="80" w:firstLine="8"/>
        <w:spacing w:after="0" w:line="252" w:lineRule="auto"/>
        <w:tabs>
          <w:tab w:leader="none" w:pos="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performance objectives achievement; (ix) the realization of tax assets and estimates of tax liabilities, including reserves for uncertain tax positions; and (x) the recognition and disclosure of contingent liabilities.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Company also assessed the impacts of COVID-19 on the above accounting matters as of October 31, 2020 and through the date of this report. While it is difficult to quantify the impact of COVID-19, the future magnitude and duration of COVID-19, as well as other associated factors, could result in material negative impacts to the Company’s condensed consolidated financial statements in future reporting periods.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8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87"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adjusts credit limits based upon payment history and customers’ credit worthiness. The Company regularly monitors collections and payments from its customers.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On February 1, 2020, the Company adopted Accounting Standards Update (ASU) No. 2016-13, Financial Instruments-Credit Losses (Topic 326): Measurement of Credit Losses on Financial Instruments, using the modified retrospective transition method. Under this new guidance, the Company recognizes credit losses based on a forward-looking current expected credit losses (CECL) model instead of the previous incurred loss model for financial instruments, including accounts receivable. The Company’s accounts receivable are recorded at invoiced amount less an allowance for any potentially uncollectible amounts. Accordingly, the Company makes estimates of expected credit losses for the allowance for doubtful accounts based upon its assessment of various factors, including historical collection experience, the age of the accounts receivable balances, credit quality of its customers, current economic conditions, reasonable and supportable forecasts of future economic conditions, and other factors that may affect its ability to collect from customers.</w:t>
      </w:r>
    </w:p>
    <w:p>
      <w:pPr>
        <w:spacing w:after="0" w:line="19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these investments as “available-for-sale” (AFS) securities. Instead of the previous "other than temporary" impairment model, the Company now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w:t>
      </w:r>
    </w:p>
    <w:p>
      <w:pPr>
        <w:spacing w:after="0" w:line="192"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cumulative effect adjustment upon the adoption on February 1, 2020 was immaterial. The credit-related losses and associated allowance amount from the Company’s financial instruments were not material as of October 31, 2020,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48"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both October 31, 2020 and January 31, 2020, restricted cash was immaterial. The following table presents cash, cash equivalents and restricted cash reported on the condensed consolidated balance sheets, and the sums are presented on the condensed consolidated statements of cash flows: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2020</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2019</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2019</w:t>
            </w:r>
          </w:p>
        </w:tc>
        <w:tc>
          <w:tcPr>
            <w:tcW w:w="80" w:type="dxa"/>
            <w:vAlign w:val="bottom"/>
          </w:tcPr>
          <w:p>
            <w:pPr>
              <w:spacing w:after="0"/>
              <w:rPr>
                <w:sz w:val="13"/>
                <w:szCs w:val="13"/>
                <w:color w:val="auto"/>
              </w:rPr>
            </w:pPr>
          </w:p>
        </w:tc>
      </w:tr>
      <w:tr>
        <w:trPr>
          <w:trHeight w:val="155"/>
        </w:trPr>
        <w:tc>
          <w:tcPr>
            <w:tcW w:w="3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3"/>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225,508</w:t>
            </w:r>
          </w:p>
        </w:tc>
        <w:tc>
          <w:tcPr>
            <w:tcW w:w="5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231,403</w:t>
            </w:r>
          </w:p>
        </w:tc>
        <w:tc>
          <w:tcPr>
            <w:tcW w:w="60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252,310</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194,047</w:t>
            </w:r>
          </w:p>
        </w:tc>
        <w:tc>
          <w:tcPr>
            <w:tcW w:w="80" w:type="dxa"/>
            <w:vAlign w:val="bottom"/>
            <w:shd w:val="clear" w:color="auto" w:fill="CFF0FC"/>
          </w:tcPr>
          <w:p>
            <w:pPr>
              <w:spacing w:after="0"/>
              <w:rPr>
                <w:sz w:val="21"/>
                <w:szCs w:val="21"/>
                <w:color w:val="auto"/>
              </w:rPr>
            </w:pPr>
          </w:p>
        </w:tc>
      </w:tr>
      <w:tr>
        <w:trPr>
          <w:trHeight w:val="243"/>
        </w:trPr>
        <w:tc>
          <w:tcPr>
            <w:tcW w:w="3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FF0FC"/>
            </w:tcBorders>
          </w:tcPr>
          <w:p>
            <w:pPr>
              <w:spacing w:after="0"/>
              <w:rPr>
                <w:sz w:val="21"/>
                <w:szCs w:val="21"/>
                <w:color w:val="auto"/>
              </w:rPr>
            </w:pPr>
          </w:p>
        </w:tc>
      </w:tr>
      <w:tr>
        <w:trPr>
          <w:trHeight w:val="205"/>
        </w:trPr>
        <w:tc>
          <w:tcPr>
            <w:tcW w:w="336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as presented in the consolidated</w:t>
            </w: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statements of cash flows</w:t>
            </w:r>
          </w:p>
        </w:tc>
        <w:tc>
          <w:tcPr>
            <w:tcW w:w="7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225,518</w:t>
            </w:r>
          </w:p>
        </w:tc>
        <w:tc>
          <w:tcPr>
            <w:tcW w:w="5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231,412</w:t>
            </w:r>
          </w:p>
        </w:tc>
        <w:tc>
          <w:tcPr>
            <w:tcW w:w="60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252,319</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194,058</w:t>
            </w:r>
          </w:p>
        </w:tc>
        <w:tc>
          <w:tcPr>
            <w:tcW w:w="80" w:type="dxa"/>
            <w:vAlign w:val="bottom"/>
            <w:shd w:val="clear" w:color="auto" w:fill="CFF0FC"/>
          </w:tcPr>
          <w:p>
            <w:pPr>
              <w:spacing w:after="0"/>
              <w:rPr>
                <w:sz w:val="20"/>
                <w:szCs w:val="20"/>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three and nine months ended October 31, 2020 and 2019, respectively.</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Noncancelable Internal-Use Software License</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adopted Accounting Standards Codification (“ASC”) Topic 842, Leases in fiscal year 2020. As a result,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and liability calculation if it is reasonably certain that the Company will exercise the option. The Company's finance leases were immaterial as of October 31, 2020 and January 31, 2020, respectively.</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 Company adopted ASC 606, Revenue from Contracts with Customers in fiscal year 2019. As a result,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0" w:name="page11"/>
    <w:bookmarkEnd w:id="10"/>
    <w:p>
      <w:pPr>
        <w:ind w:firstLine="510"/>
        <w:spacing w:after="0" w:line="253" w:lineRule="auto"/>
        <w:rPr>
          <w:sz w:val="20"/>
          <w:szCs w:val="20"/>
          <w:color w:val="auto"/>
        </w:rPr>
      </w:pPr>
      <w:r>
        <w:rPr>
          <w:rFonts w:ascii="Times New Roman" w:cs="Times New Roman" w:eastAsia="Times New Roman" w:hAnsi="Times New Roman"/>
          <w:sz w:val="18"/>
          <w:szCs w:val="18"/>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8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three and nine months ended October 31, 2020 and 2019, respectively.</w:t>
      </w:r>
    </w:p>
    <w:p>
      <w:pPr>
        <w:spacing w:after="0" w:line="188"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the Company’s customers. The Company records contract assets when revenue is recognized prior to invoicing. The Company’s contract assets are primarily related to satisfied but unbilled performance obligations associated with its engineering service agreements at the reporting date. As of October 31, 2020 and January 31, 2020, the contract assets for these unbilled receivables were not material. The Company’s contract liabilities consist of deferred revenue. The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three and nine months ended October 31, 2020 and 2019, the Company did not recognize any material revenue adjustment, respectively, related to performance obligations satisfied in prior periods released from this deferred revenue. As of October 31, 2020 and January 31, 2020, the respective deferred revenues were not material. Additionally, the transaction price allocated to unsatisfied, or partially unsatisfied, purchase orders for contracts that are greater than a year was not material as of October 31, 2020 and January 31, 2020, respectively. The Company also elects not to disclose the value of unsatisfied or partially unsatisfied performance obligations due to an original expected contract duration of one year or less and elects to exclude amounts collected from customers for all sales taxes from the transaction price.</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October 31, 2020, there was approximately $1.3 million of grants recorded in prepaid expenses and other current assets and approximately $2.4 million of grants recorded in other non-current assets in the condensed consolidated balance sheets.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183"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condensed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condensed consolidated balance sheets. In general, deferred tax assets represent future tax benefits to be received when certain expenses previously recognized in the condensed consolidated statements of operations become deductible expenses under applicable income tax laws, or loss or credit carryforwards are utilized.</w:t>
      </w:r>
    </w:p>
    <w:p>
      <w:pPr>
        <w:spacing w:after="0" w:line="187"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6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condensed consolidated income statement for the periods in which the adjustment is determined to be required.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income (loss) includes unrealized gains or losses from available-for-sale securities that are excluded from net income (loss).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The amendments in this ASU simplify the accounting for income taxes by removing certain exceptions to the general principles in Topic 740. The amendments also improve consistent application of and simplify GAAP for other areas of Topic 740 by clarifying and amending existing guidance.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7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January 2020, the FASB issued ASU 2020-01 - Investments - Equity securities (Topic 321), Investments - Equity method and joint ventures (Topic 323), and Derivatives and hedging (Topic 815) - Clarifying the interactions between Topic 321, Topic 323, and Topic 815. The amendments in this Update improve the accounting for certain equity securities upon the application or discontinuation of the equity method of accounting and clarify the scope considerations for forward contracts and purchased options on certain securities.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2" w:name="page13"/>
    <w:bookmarkEnd w:id="12"/>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In October 2020, the FASB issued ASU 2020-08 – Codification Improvements to Subtopic 310-20, Receivables – Nonrefundable Fees and Other Costs. The amendments in this Update clarify that for each reporting period, to the extent that the amortized cost basis of an individual callable debt security exceeds the amount repayable by the issuer at the next call date, the excess (that is, the premium) shall be amortized to the next call date. The amendments also clarify that securities within the amendments shall have explicit, noncontingent call options that are callable at fixed prices and on preset dates at prices less than the amortized cost basis of the security. The amendments are effective for public entities in fiscal years beginning after December 15, 2020, including interim periods within those fiscal years. The Company is required to apply the new guidance on a prospective basis as of the beginning of the period of adoption for existing or newly purchased callable debit securities. Early adoption is not permitted. The Company is currently evaluating the impact of the adoption of this new guidance on its consolidated financial statements and disclosures.</w:t>
      </w:r>
    </w:p>
    <w:p>
      <w:pPr>
        <w:spacing w:after="0" w:line="84" w:lineRule="exact"/>
        <w:rPr>
          <w:sz w:val="20"/>
          <w:szCs w:val="20"/>
          <w:color w:val="auto"/>
        </w:rPr>
      </w:pPr>
    </w:p>
    <w:p>
      <w:pPr>
        <w:ind w:right="120" w:firstLine="510"/>
        <w:spacing w:after="0" w:line="277" w:lineRule="auto"/>
        <w:rPr>
          <w:sz w:val="20"/>
          <w:szCs w:val="20"/>
          <w:color w:val="auto"/>
        </w:rPr>
      </w:pPr>
      <w:r>
        <w:rPr>
          <w:rFonts w:ascii="Times New Roman" w:cs="Times New Roman" w:eastAsia="Times New Roman" w:hAnsi="Times New Roman"/>
          <w:sz w:val="17"/>
          <w:szCs w:val="17"/>
          <w:color w:val="auto"/>
        </w:rPr>
        <w:t>In October 2020, the FASB issued ASU 2020-10 – Codification Improvements. The amendments in this Update contain improvements to the Codification by including disclosure guidance in appropriate disclosure and ensuring that all guidance that requires or provides an option for an entity to provide information in the notes to financial statements is codified in the Disclosure Section of the Codification.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condensed consolidated balance sheets as follows: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October 31, 2020</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56"/>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66,744</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101,102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102,174</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213,047</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214,410</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51"/>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Pr>
          <w:p>
            <w:pPr>
              <w:spacing w:after="0"/>
              <w:rPr>
                <w:sz w:val="20"/>
                <w:szCs w:val="20"/>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63,390</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95,706</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210,313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10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31, 2020, there were no debt securities with unrealized losses for more than twelve months.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1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198,129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173,345</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4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4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214,410</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1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October 31, 2020 and January 31, 2020 were as follows: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80" w:type="dxa"/>
            <w:vAlign w:val="bottom"/>
          </w:tcPr>
          <w:p>
            <w:pPr>
              <w:spacing w:after="0"/>
              <w:rPr>
                <w:sz w:val="17"/>
                <w:szCs w:val="17"/>
                <w:color w:val="auto"/>
              </w:rPr>
            </w:pPr>
          </w:p>
        </w:tc>
      </w:tr>
      <w:tr>
        <w:trPr>
          <w:trHeight w:val="223"/>
        </w:trPr>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143,012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146,267</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4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71,398</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64,814</w:t>
            </w:r>
          </w:p>
        </w:tc>
        <w:tc>
          <w:tcPr>
            <w:tcW w:w="80" w:type="dxa"/>
            <w:vAlign w:val="bottom"/>
            <w:tcBorders>
              <w:bottom w:val="single" w:sz="8" w:color="CFF0FC"/>
            </w:tcBorders>
          </w:tcPr>
          <w:p>
            <w:pPr>
              <w:spacing w:after="0"/>
              <w:rPr>
                <w:sz w:val="21"/>
                <w:szCs w:val="21"/>
                <w:color w:val="auto"/>
              </w:rPr>
            </w:pPr>
          </w:p>
        </w:tc>
      </w:tr>
      <w:tr>
        <w:trPr>
          <w:trHeight w:val="237"/>
        </w:trPr>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214,410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unrealized losses on the available-for-sale securities were primarily caused by fluctuations in market value and interest rates as a result of the economic environment. Upon adoption of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The credit-related losses of the Company’s financial instruments were not material for the three and nine months ended October 31, 2020, respectively.</w:t>
      </w:r>
    </w:p>
    <w:p>
      <w:pPr>
        <w:spacing w:after="0" w:line="189" w:lineRule="exact"/>
        <w:rPr>
          <w:sz w:val="20"/>
          <w:szCs w:val="20"/>
          <w:color w:val="auto"/>
        </w:rPr>
      </w:pPr>
    </w:p>
    <w:p>
      <w:pPr>
        <w:jc w:val="both"/>
        <w:ind w:right="180" w:firstLine="510"/>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jc w:val="both"/>
        <w:ind w:right="220" w:firstLine="510"/>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October 31, 2020 and January 31, 2020, respectively:</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October 31, 2020</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214,410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212,026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51"/>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22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22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October 31, 2020 and January 31, 2020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55"/>
        </w:trPr>
        <w:tc>
          <w:tcPr>
            <w:tcW w:w="4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960" w:type="dxa"/>
            <w:vAlign w:val="bottom"/>
            <w:tcBorders>
              <w:top w:val="single" w:sz="8" w:color="auto"/>
            </w:tcBorders>
            <w:gridSpan w:val="4"/>
          </w:tcPr>
          <w:p>
            <w:pPr>
              <w:jc w:val="right"/>
              <w:ind w:right="103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80" w:type="dxa"/>
            <w:vAlign w:val="bottom"/>
            <w:shd w:val="clear" w:color="auto" w:fill="CFF0FC"/>
          </w:tcPr>
          <w:p>
            <w:pPr>
              <w:spacing w:after="0"/>
              <w:rPr>
                <w:sz w:val="19"/>
                <w:szCs w:val="19"/>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8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$0.6 million and $0.7 million for the three months ended October 31, 2020 and 2019, respectively. Depreciation expense was approximately $1.9 million and $2.1 million for the nine months ended October 31, 2020 and 2019, respectively. Property and equipment at October 31, 2020 and January 31, 2020 consisted of the following:</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55"/>
        </w:trPr>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5"/>
          </w:tcPr>
          <w:p>
            <w:pPr>
              <w:jc w:val="right"/>
              <w:ind w:right="93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10,282</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(16,118)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(14,373)</w:t>
            </w:r>
          </w:p>
        </w:tc>
      </w:tr>
      <w:tr>
        <w:trPr>
          <w:trHeight w:val="223"/>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12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intangible assets primarily consist of $4.1 million of in-process research and development (“IPR&amp;D”) from the acquisition of VisLab S.r.l., or VisLab, in June 2015 and $13.3 million of noncancelable software licenses, net of amortization expense. Acquired IPR&amp;D is capitalized at fair value and the amortization commences upon completion of the underlying projects. Once research and development efforts are completed, the corresponding amount of IPR&amp;D is reclassified as an amortizable purchased intangible asset and is amortized over its estimated useful life. As of October 31, 2020, there was no IPR&amp;D amortized. The Company will determine the project incorporating the VisLab IPR&amp;D to be completed when a related chip begins mass production to address the level 3 and above advanced driving assistance systems markets.</w:t>
      </w:r>
    </w:p>
    <w:p>
      <w:pPr>
        <w:spacing w:after="0" w:line="187"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internal-use noncancelable software license agreements with third parties from time-to-time. The licenses have been capitalized as intangible assets, and the corresponding future payments have been recorded as liabilities at net present value. As of October 31, 2020, $5.8 million was recorded in accrued and other current liabilities and $7.2 million was recorded in other long-term liabilities in the condensed consolidated balance sheets.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intangible assets as of October 31, 2020 and January 31, 2020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8"/>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As of October 31, 2020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9"/>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tcBorders>
              <w:top w:val="single" w:sz="8" w:color="auto"/>
            </w:tcBorders>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tcBorders>
              <w:top w:val="single" w:sz="8" w:color="auto"/>
            </w:tcBorders>
            <w:gridSpan w:val="4"/>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4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licenses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acquired intangible assets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right="40" w:firstLine="510"/>
        <w:spacing w:after="0" w:line="272" w:lineRule="auto"/>
        <w:rPr>
          <w:sz w:val="20"/>
          <w:szCs w:val="20"/>
          <w:color w:val="auto"/>
        </w:rPr>
      </w:pPr>
      <w:r>
        <w:rPr>
          <w:rFonts w:ascii="Times New Roman" w:cs="Times New Roman" w:eastAsia="Times New Roman" w:hAnsi="Times New Roman"/>
          <w:sz w:val="17"/>
          <w:szCs w:val="17"/>
          <w:color w:val="auto"/>
        </w:rPr>
        <w:t>During the nine months ended October 31, 2020, there was approximately $10.1 million of fully amortized software licenses retired. The amortization expense related to software licenses was approximately $1.7 million and $1.3 million for the three months ended October 31, 2020 and 2019, respectively. The amortization expense related to software licenses was approximately $4.8 million and $3.9 million for the nine months ended October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2019, respectively. The estimated future amortization expense of these software licenses as of October 31, 2020 is as follows:</w:t>
      </w:r>
    </w:p>
    <w:p>
      <w:pPr>
        <w:spacing w:after="0" w:line="6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520" w:type="dxa"/>
            <w:vAlign w:val="bottom"/>
            <w:vMerge w:val="restart"/>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2021 (3 months remaining)</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4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45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5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IPR&amp;D is required to be tested for impairment at least annually in the fourth fiscal quarter or sooner whenever events or changes in circumstances indicate that the assets may be impaired. There were no intangible asset impairments for the three and nine months ended October 31, 2020 and 2019,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October 31, 2020 and January 31, 2020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1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80" w:type="dxa"/>
            <w:vAlign w:val="bottom"/>
            <w:shd w:val="clear" w:color="auto" w:fill="CFF0FC"/>
          </w:tcPr>
          <w:p>
            <w:pPr>
              <w:spacing w:after="0"/>
              <w:rPr>
                <w:sz w:val="19"/>
                <w:szCs w:val="19"/>
                <w:color w:val="auto"/>
              </w:rPr>
            </w:pPr>
          </w:p>
        </w:tc>
      </w:tr>
      <w:tr>
        <w:trPr>
          <w:trHeight w:val="223"/>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8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41,922</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34,970</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of SoC development progress and payments to outside foundries resulted in fluctuation of the accrued product development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20" w:firstLine="468"/>
        <w:spacing w:after="0" w:line="261" w:lineRule="auto"/>
        <w:rPr>
          <w:sz w:val="20"/>
          <w:szCs w:val="20"/>
          <w:color w:val="auto"/>
        </w:rPr>
      </w:pPr>
      <w:r>
        <w:rPr>
          <w:rFonts w:ascii="Times New Roman" w:cs="Times New Roman" w:eastAsia="Times New Roman" w:hAnsi="Times New Roman"/>
          <w:sz w:val="18"/>
          <w:szCs w:val="18"/>
          <w:color w:val="auto"/>
        </w:rPr>
        <w:t>The Company has entered into various operating leases for its worldwide office facilities. The operating lease expense was approximately $0.8 million and $0.7 million for the three months ended October 31, 2020 and 2019, respectively. The operating lease expense was approximately $2.2 million and $2.2 million for the nine months ended October 31, 2020 and 2019, respectively. The Company's short-term leases and finance leases were not material as of October 31, 2020 and January 31, 2020, respectively.</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14"/>
                <w:szCs w:val="14"/>
                <w:color w:val="auto"/>
              </w:rPr>
            </w:pPr>
          </w:p>
        </w:tc>
      </w:tr>
      <w:tr>
        <w:trPr>
          <w:trHeight w:val="173"/>
        </w:trPr>
        <w:tc>
          <w:tcPr>
            <w:tcW w:w="11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120" w:type="dxa"/>
            <w:vAlign w:val="bottom"/>
          </w:tcPr>
          <w:p>
            <w:pPr>
              <w:spacing w:after="0"/>
              <w:rPr>
                <w:sz w:val="15"/>
                <w:szCs w:val="15"/>
                <w:color w:val="auto"/>
              </w:rPr>
            </w:pPr>
          </w:p>
        </w:tc>
      </w:tr>
      <w:tr>
        <w:trPr>
          <w:trHeight w:val="155"/>
        </w:trPr>
        <w:tc>
          <w:tcPr>
            <w:tcW w:w="11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gridSpan w:val="3"/>
          </w:tcPr>
          <w:p>
            <w:pPr>
              <w:jc w:val="right"/>
              <w:ind w:right="109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11"/>
        </w:trPr>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arising from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obtaining right-of-use assets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48"/>
        </w:trPr>
        <w:tc>
          <w:tcPr>
            <w:tcW w:w="66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As of October 31, 2020, the weighted average remaining lease term is 4.41 years, and the weighted average discount rate is 4.43 percent. Future minimum lease payments for the lease liabilities are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26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jc w:val="center"/>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2021 (3 months remaining)</w:t>
            </w:r>
          </w:p>
        </w:tc>
        <w:tc>
          <w:tcPr>
            <w:tcW w:w="1680" w:type="dxa"/>
            <w:vAlign w:val="bottom"/>
            <w:gridSpan w:val="2"/>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interest</w:t>
            </w: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October 31, 2020 and January 31, 2020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1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right="9380" w:hanging="512"/>
        <w:spacing w:after="0" w:line="378" w:lineRule="auto"/>
        <w:tabs>
          <w:tab w:leader="none" w:pos="19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ind w:firstLine="510"/>
        <w:spacing w:after="0" w:line="282" w:lineRule="auto"/>
        <w:rPr>
          <w:sz w:val="20"/>
          <w:szCs w:val="20"/>
          <w:color w:val="auto"/>
        </w:rPr>
      </w:pPr>
      <w:r>
        <w:rPr>
          <w:rFonts w:ascii="Times New Roman" w:cs="Times New Roman" w:eastAsia="Times New Roman" w:hAnsi="Times New Roman"/>
          <w:sz w:val="18"/>
          <w:szCs w:val="18"/>
          <w:color w:val="auto"/>
        </w:rPr>
        <w:t>After completion of the Company’s initial public offering in 2012, a total of 20,000,000 preference shares, with a $0.00045 par value per share, were authorized. There were no preference shares issued and outstanding as of October 31, 2020 and January 31, 2020,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2020 and January 31, 2020, a total of 200,000,000 ordinary shares were authorized.</w:t>
      </w:r>
    </w:p>
    <w:p>
      <w:pPr>
        <w:spacing w:after="0" w:line="22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On February 1, 2020, the Company added 1,521,252 ordinary shares to the ordinary shares reserved for issuance, pursuant to an “evergreen” provision contained in the 2012 Equity Incentive Plan, or EIP. Pursuant to such provision, for each fiscal year, the number of ordinary shares reserved for issuance under the EIP is automatically increased by a number equal to the lesser of (i) 3,500,000 ordinary shares, (ii) four and one half percent (4.5%) of the aggregate number of ordinary shares outstanding on January 31st of the preceding fiscal year, or (iii) a lesser number of shares that may be determined by the Company’s Board of Directors.</w:t>
      </w:r>
    </w:p>
    <w:p>
      <w:pPr>
        <w:spacing w:after="0" w:line="18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 February 1, 2020, the Company added 422,570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As of October 31, 2020 and January 31, 2020, the following ordinary shares were reserved for future issuance under the EIP and ESPP:</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164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2020</w:t>
            </w:r>
          </w:p>
        </w:tc>
        <w:tc>
          <w:tcPr>
            <w:tcW w:w="1240" w:type="dxa"/>
            <w:vAlign w:val="bottom"/>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2020</w:t>
            </w:r>
          </w:p>
        </w:tc>
        <w:tc>
          <w:tcPr>
            <w:tcW w:w="80" w:type="dxa"/>
            <w:vAlign w:val="bottom"/>
          </w:tcPr>
          <w:p>
            <w:pPr>
              <w:spacing w:after="0"/>
              <w:rPr>
                <w:sz w:val="13"/>
                <w:szCs w:val="13"/>
                <w:color w:val="auto"/>
              </w:rPr>
            </w:pPr>
          </w:p>
        </w:tc>
      </w:tr>
      <w:tr>
        <w:trPr>
          <w:trHeight w:val="205"/>
        </w:trPr>
        <w:tc>
          <w:tcPr>
            <w:tcW w:w="49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EIP</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6,457,092</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6,045,108</w:t>
            </w:r>
          </w:p>
        </w:tc>
        <w:tc>
          <w:tcPr>
            <w:tcW w:w="80" w:type="dxa"/>
            <w:vAlign w:val="bottom"/>
            <w:shd w:val="clear" w:color="auto" w:fill="CFF0FC"/>
          </w:tcPr>
          <w:p>
            <w:pPr>
              <w:spacing w:after="0"/>
              <w:rPr>
                <w:sz w:val="20"/>
                <w:szCs w:val="20"/>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ESPP</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2,299,143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2,059,504</w:t>
            </w:r>
          </w:p>
        </w:tc>
        <w:tc>
          <w:tcPr>
            <w:tcW w:w="80" w:type="dxa"/>
            <w:vAlign w:val="bottom"/>
          </w:tcPr>
          <w:p>
            <w:pPr>
              <w:spacing w:after="0"/>
              <w:rPr>
                <w:sz w:val="20"/>
                <w:szCs w:val="20"/>
                <w:color w:val="auto"/>
              </w:rPr>
            </w:pPr>
          </w:p>
        </w:tc>
      </w:tr>
    </w:tbl>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repurchased</w:t>
      </w:r>
    </w:p>
    <w:p>
      <w:pPr>
        <w:spacing w:after="0" w:line="229"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On May 29, 2019, the Company’s Board of Directors authorized a program to repurchase up to $50.0 million of the Company’s ordinary shares through June 30, 2020. On March 16, 2020, the Company repurchased a total of 25,719 shares for approximately $1.0 million in cash. On May 29, 2020, the Board approved an extension of this program for an additional twelve months ending June 30, 2021. Since the inception of the Company’s repurchase programs in June 2016, a total of $275.0 million has been authorized, and a total of 4,011,595 shares have been repurchased for approximately $175.8 million in cash.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As of October 31, 2020, there was approximately $49.0 million available for repurchases under the repurchase program through June 30, 2021.</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r>
      <w:tr>
        <w:trPr>
          <w:trHeight w:val="173"/>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5"/>
                <w:szCs w:val="15"/>
                <w:color w:val="auto"/>
              </w:rPr>
            </w:pPr>
          </w:p>
        </w:tc>
        <w:tc>
          <w:tcPr>
            <w:tcW w:w="9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0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3"/>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Pr>
          <w:p>
            <w:pPr>
              <w:spacing w:after="0"/>
              <w:rPr>
                <w:sz w:val="21"/>
                <w:szCs w:val="21"/>
                <w:color w:val="auto"/>
              </w:rPr>
            </w:pPr>
          </w:p>
        </w:tc>
      </w:tr>
      <w:tr>
        <w:trPr>
          <w:trHeight w:val="230"/>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80" w:type="dxa"/>
            <w:vAlign w:val="bottom"/>
            <w:shd w:val="clear" w:color="auto" w:fill="CFF0FC"/>
          </w:tcPr>
          <w:p>
            <w:pPr>
              <w:spacing w:after="0"/>
              <w:rPr>
                <w:sz w:val="19"/>
                <w:szCs w:val="19"/>
                <w:color w:val="auto"/>
              </w:rPr>
            </w:pPr>
          </w:p>
        </w:tc>
      </w:tr>
      <w:tr>
        <w:trPr>
          <w:trHeight w:val="243"/>
        </w:trPr>
        <w:tc>
          <w:tcPr>
            <w:tcW w:w="4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1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80" w:type="dxa"/>
            <w:vAlign w:val="bottom"/>
            <w:tcBorders>
              <w:bottom w:val="single" w:sz="8" w:color="CFF0FC"/>
            </w:tcBorders>
          </w:tcPr>
          <w:p>
            <w:pPr>
              <w:spacing w:after="0"/>
              <w:rPr>
                <w:sz w:val="21"/>
                <w:szCs w:val="2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51,407</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49,968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October 31, 2020, approximately $1.9 million and $2.8 million of stock-based compensation expense was accrued in the accrued and other current liabilities in the condensed consolidated balance sheets, respectively. As of October 31, 2020, total unrecognized compensation cost related to unvested stock options was $3.1 million and is expected to be recognized over a weighted-average period of 2.37 years. Total unrecognized compensation cost related to unvested restricted stock units was $137.3 million and is expected to be recognized over a weighted-average period of 2.54 years.</w:t>
      </w:r>
    </w:p>
    <w:p>
      <w:pPr>
        <w:spacing w:after="0" w:line="183"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stock options and employee stock purchase plan awards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31,</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0.40%</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1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1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8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Option Outstanding</w:t>
            </w: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4"/>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4"/>
        </w:trPr>
        <w:tc>
          <w:tcPr>
            <w:tcW w:w="4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92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6"/>
                <w:szCs w:val="16"/>
                <w:color w:val="auto"/>
              </w:rPr>
            </w:pPr>
          </w:p>
        </w:tc>
        <w:tc>
          <w:tcPr>
            <w:tcW w:w="9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6"/>
        </w:trPr>
        <w:tc>
          <w:tcPr>
            <w:tcW w:w="46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9"/>
                <w:szCs w:val="19"/>
                <w:color w:val="auto"/>
              </w:rPr>
            </w:pPr>
          </w:p>
        </w:tc>
        <w:tc>
          <w:tcPr>
            <w:tcW w:w="9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6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2020</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(207,876)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9,224</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(21,422)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October 31, 2020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18,266</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October 31, 2020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790,911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17,504</w:t>
            </w:r>
          </w:p>
        </w:tc>
      </w:tr>
    </w:tbl>
    <w:p>
      <w:pPr>
        <w:spacing w:after="0" w:line="198"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October 31, 2020 was $54.67, as reported by The NASDAQ Global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units activities for the period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73"/>
        </w:trPr>
        <w:tc>
          <w:tcPr>
            <w:tcW w:w="54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2,617,266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(901,392)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October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3,087,309</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2020, the aggregate intrinsic value of unvested restricted stock units was $168.8 million.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ordinary share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40" w:type="dxa"/>
            <w:vAlign w:val="bottom"/>
          </w:tcPr>
          <w:p>
            <w:pPr>
              <w:spacing w:after="0"/>
              <w:rPr>
                <w:sz w:val="13"/>
                <w:szCs w:val="13"/>
                <w:color w:val="auto"/>
              </w:rPr>
            </w:pPr>
          </w:p>
        </w:tc>
        <w:tc>
          <w:tcPr>
            <w:tcW w:w="21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31,</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6"/>
            <w:vMerge w:val="continue"/>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gridSpan w:val="11"/>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0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(17,078)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(4,309)</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(31,811)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34,819,880</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33,304,171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34,460,172</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32,885,729</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34,819,880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33,304,171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34,460,172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32,885,729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0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loss per ordinary share as their effect would have been antidilutive:</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0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r>
      <w:tr>
        <w:trPr>
          <w:trHeight w:val="173"/>
        </w:trPr>
        <w:tc>
          <w:tcPr>
            <w:tcW w:w="3800" w:type="dxa"/>
            <w:vAlign w:val="bottom"/>
          </w:tcPr>
          <w:p>
            <w:pPr>
              <w:spacing w:after="0"/>
              <w:rPr>
                <w:sz w:val="15"/>
                <w:szCs w:val="15"/>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31,</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38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701,113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873,515</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734,506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948,283</w:t>
            </w:r>
          </w:p>
        </w:tc>
        <w:tc>
          <w:tcPr>
            <w:tcW w:w="80" w:type="dxa"/>
            <w:vAlign w:val="bottom"/>
            <w:shd w:val="clear" w:color="auto" w:fill="CFF0FC"/>
          </w:tcPr>
          <w:p>
            <w:pPr>
              <w:spacing w:after="0"/>
              <w:rPr>
                <w:sz w:val="19"/>
                <w:szCs w:val="19"/>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1,233,679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1,675,570</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1,316,682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1,195,320</w:t>
            </w:r>
          </w:p>
        </w:tc>
        <w:tc>
          <w:tcPr>
            <w:tcW w:w="80" w:type="dxa"/>
            <w:vAlign w:val="bottom"/>
          </w:tcPr>
          <w:p>
            <w:pPr>
              <w:spacing w:after="0"/>
              <w:rPr>
                <w:sz w:val="21"/>
                <w:szCs w:val="2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23,144</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26,494</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80" w:type="dxa"/>
            <w:vAlign w:val="bottom"/>
            <w:shd w:val="clear" w:color="auto" w:fill="CFF0FC"/>
          </w:tcPr>
          <w:p>
            <w:pPr>
              <w:spacing w:after="0"/>
              <w:rPr>
                <w:sz w:val="19"/>
                <w:szCs w:val="19"/>
                <w:color w:val="auto"/>
              </w:rPr>
            </w:pPr>
          </w:p>
        </w:tc>
      </w:tr>
      <w:tr>
        <w:trPr>
          <w:trHeight w:val="237"/>
        </w:trPr>
        <w:tc>
          <w:tcPr>
            <w:tcW w:w="38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1,957,936</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2,562,757</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2,077,682</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2,154,807</w:t>
            </w:r>
          </w:p>
        </w:tc>
        <w:tc>
          <w:tcPr>
            <w:tcW w:w="80" w:type="dxa"/>
            <w:vAlign w:val="bottom"/>
          </w:tcPr>
          <w:p>
            <w:pPr>
              <w:spacing w:after="0"/>
              <w:rPr>
                <w:sz w:val="20"/>
                <w:szCs w:val="20"/>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r>
      <w:tr>
        <w:trPr>
          <w:trHeight w:val="173"/>
        </w:trPr>
        <w:tc>
          <w:tcPr>
            <w:tcW w:w="3960" w:type="dxa"/>
            <w:vAlign w:val="bottom"/>
          </w:tcPr>
          <w:p>
            <w:pPr>
              <w:spacing w:after="0"/>
              <w:rPr>
                <w:sz w:val="15"/>
                <w:szCs w:val="15"/>
                <w:color w:val="auto"/>
              </w:rPr>
            </w:pPr>
          </w:p>
        </w:tc>
        <w:tc>
          <w:tcPr>
            <w:tcW w:w="19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96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3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3"/>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(15,576)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(5,251)</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  (43,922)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(29,509)</w:t>
            </w: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1,502</w:t>
            </w:r>
          </w:p>
        </w:tc>
        <w:tc>
          <w:tcPr>
            <w:tcW w:w="2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3,375</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21"/>
                <w:szCs w:val="21"/>
                <w:color w:val="auto"/>
              </w:rPr>
            </w:pPr>
          </w:p>
        </w:tc>
      </w:tr>
      <w:tr>
        <w:trPr>
          <w:trHeight w:val="24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income tax expense increased for the three and nine months ended October 31, 2020, as compared to the same periods in the prior fiscal year, primarily due to a decrease in the proportion of profits generated in lower tax jurisdictions as well as an increase in non-deductible stock-based compensation.</w:t>
      </w:r>
    </w:p>
    <w:p>
      <w:pPr>
        <w:spacing w:after="0" w:line="176"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 xml:space="preserve">On March 27, 2020, the Coronavirus Aid, Relief, and Economic Security Act (“CARES Act”), P.L. 116-136, was passed into law, amending portions of certain relevant US tax laws. The CARES Act includes a number of federal income tax law changes, including, but not limited to: 1) permitting net operating loss carrybacks to offset 100% of taxable income for taxable years beginning before 2021, 2) accelerating alternative minimum tax credit refunds, 3) temporarily increasing the allowable business interest deduction from 30% to 50% of adjusted taxable income, and 4) providing a technical correction for depreciation related to qualified improvement property. The CARES Act also provides for an Employee Retention Credit, a fully refundable payroll tax credit for certain eligible employers, and the ability for all eligible employers to defer payment of the employer share of payroll taxes owed on wages paid for the period ending December 31, 2020. </w:t>
      </w:r>
      <w:r>
        <w:rPr>
          <w:rFonts w:ascii="Times New Roman" w:cs="Times New Roman" w:eastAsia="Times New Roman" w:hAnsi="Times New Roman"/>
          <w:sz w:val="18"/>
          <w:szCs w:val="18"/>
          <w:color w:val="212529"/>
        </w:rPr>
        <w:t>The Company has preliminarily evaluated the impact of the CARES Act and does not expect it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have a material impact on the Company’s condensed consolidated financial statements.</w:t>
      </w:r>
    </w:p>
    <w:p>
      <w:pPr>
        <w:spacing w:after="0" w:line="19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Internal Revenue Service is currently examining the Company’s U.S. federal income tax return for the fiscal year ended January 31, 2017. The tax years 2013 to 2019 remain open to examination by U.S. federal tax authorities. The tax years 2009 to 2019 remain open to examination by U.S. state tax authorities. The tax years 2014 to 2019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October 31, 2020, the gross amount of unrecognized tax benefits decreased by $16.1 million to $27.0 million. The decrease was primarily due to changes to our uncertain tax positions from adjustments arising from tax return filings.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187"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 xml:space="preserve">On July 27, 2015, the United States Tax Court issued a decision (“Tax Court Decision”) in </w:t>
      </w:r>
      <w:r>
        <w:rPr>
          <w:rFonts w:ascii="Times New Roman" w:cs="Times New Roman" w:eastAsia="Times New Roman" w:hAnsi="Times New Roman"/>
          <w:sz w:val="18"/>
          <w:szCs w:val="18"/>
          <w:i w:val="1"/>
          <w:iCs w:val="1"/>
          <w:color w:val="auto"/>
        </w:rPr>
        <w:t>Altera Corp. v. Commissioner</w:t>
      </w:r>
      <w:r>
        <w:rPr>
          <w:rFonts w:ascii="Times New Roman" w:cs="Times New Roman" w:eastAsia="Times New Roman" w:hAnsi="Times New Roman"/>
          <w:sz w:val="18"/>
          <w:szCs w:val="18"/>
          <w:color w:val="auto"/>
        </w:rPr>
        <w:t>, which concluded that related parties in a cost sharing arrangement are not required to share expenses related to share-based compensation. The Tax Court Decision was appealed by the Commissioner to the Ninth Circuit Court of Appeals (“Ninth Circuit”). On June 7, 2019, the Ninth Circuit issued an opinion that reversed the Tax Court Decision. On July 22, 2019, the taxpayer requested a rehearing before the full Ninth Circuit and the request was denied on November 12, 2019. On February 10, 2020, the taxpayer filed a petition to appeal the decision with the Supreme Court of the United States which was denied on June 22, 2020. The denial of the request by the Supreme Court did not have a material impact to the Company’s provision for income taxes.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Manufacturer Commitments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As of October 31, 2020 and January 31, 2020, total manufacturing purchase commitments were approximately $37.1 million and $35.9 million, respectively.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October 31, 2020 and January 31, 2020, respectively.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55"/>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5"/>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96,846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101,567</w:t>
            </w:r>
          </w:p>
        </w:tc>
        <w:tc>
          <w:tcPr>
            <w:tcW w:w="100" w:type="dxa"/>
            <w:vAlign w:val="bottom"/>
            <w:shd w:val="clear" w:color="auto" w:fill="CFF0FC"/>
          </w:tcPr>
          <w:p>
            <w:pPr>
              <w:spacing w:after="0"/>
              <w:rPr>
                <w:sz w:val="19"/>
                <w:szCs w:val="19"/>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49,745</w:t>
            </w:r>
          </w:p>
        </w:tc>
        <w:tc>
          <w:tcPr>
            <w:tcW w:w="100" w:type="dxa"/>
            <w:vAlign w:val="bottom"/>
          </w:tcPr>
          <w:p>
            <w:pPr>
              <w:spacing w:after="0"/>
              <w:rPr>
                <w:sz w:val="21"/>
                <w:szCs w:val="2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00" w:type="dxa"/>
            <w:vAlign w:val="bottom"/>
            <w:shd w:val="clear" w:color="auto" w:fill="CFF0FC"/>
          </w:tcPr>
          <w:p>
            <w:pPr>
              <w:spacing w:after="0"/>
              <w:rPr>
                <w:sz w:val="19"/>
                <w:szCs w:val="19"/>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00" w:type="dxa"/>
            <w:vAlign w:val="bottom"/>
          </w:tcPr>
          <w:p>
            <w:pPr>
              <w:spacing w:after="0"/>
              <w:rPr>
                <w:sz w:val="21"/>
                <w:szCs w:val="2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FF0FC"/>
          </w:tcPr>
          <w:p>
            <w:pPr>
              <w:spacing w:after="0"/>
              <w:rPr>
                <w:sz w:val="19"/>
                <w:szCs w:val="19"/>
                <w:color w:val="auto"/>
              </w:rPr>
            </w:pPr>
          </w:p>
        </w:tc>
      </w:tr>
      <w:tr>
        <w:trPr>
          <w:trHeight w:val="237"/>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160,848</w:t>
            </w:r>
          </w:p>
        </w:tc>
        <w:tc>
          <w:tcPr>
            <w:tcW w:w="18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171,520</w:t>
            </w:r>
          </w:p>
        </w:tc>
        <w:tc>
          <w:tcPr>
            <w:tcW w:w="10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As of October 31, 2020, substantially all of the Company’s property and equipment, net, was located in the United States, Asia Pacific region and Europe with approximate net amounts of $1.6 million, $2.5 million and $1.0 million,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customers representing 10% or more of revenue and accounts receivable were Wintech and Chicony, which accounted for approximately 62.3% and 17.6% of total revenue for the three months ended October 31, 2020, respectively, and accounted for approximately 60.4% and 17.4% of total revenue for the nine months ended October 31, 2020, respectively. The customers representing 10% or more of revenue and accounts receivable in fiscal year 2020 were Wintech and Chicony, which accounted for approximately 63.2% and 15.7% of total revenue for the three months ended October 31, 2019, respectively, and accounted for approximately 59.2% and 17.8% of total revenue for the nine months ended October 31, 2019, respectively. Accounts receivable with Wintech and Chicony were approximately $11.2 million and $9.9 million as of October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2020 and management’s discussion and analysis of our financial condition and results of operations included in our Annual Report on Form 10-K for the 2020 fiscal year filed with the Securities and Exchange Commission, or SEC, on March 27, 2020.</w:t>
      </w:r>
    </w:p>
    <w:p>
      <w:pPr>
        <w:spacing w:after="0" w:line="183"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and operating expenses,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ongoing and potential impact of the COVID-19 pandemic on our operations or the operations of our supply chain or our customers; risks associated with the overall economy, including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are a leading developer of semiconductor solutions for video that enable high-definition, or HD, video capture, analysis, sharing and display. In the last ten years, we have primarily focused on providing video and image processors for professional and consumer camera devices, such as internet protocol, or IP, security cameras, wearable sports cameras, drones and aftermarket automotive video recorders. Over the last several years, our development efforts focused on creating advanced artificial intelligence, or AI, computer vision, or CV, algorithms and high-performance, low-power hardware platforms to enhance processing acceleration, which we refer to as our CVflow™ architecture. The CVflow architecture supports a variety of computer vision algorithms, including stereovision, object identification and motion detection, obstacle detection and avoidance, terrain mapping technology, and face recognition, and allows customers to differentiate their products by porting their own algorithms and neural networks to our CVflow-based chips. Our system-on-a-chip, or SoC, designs fully integrate HD video processing, image processing, AI, computer vision functionality, audio processing, and system functions onto a single chip, delivering exceptional video and image quality at high compression rates, differentiated functionality and low power consumption. These computer vision-based technologies are allowing us to address a broader range of markets and applications requiring AI video features, including IP security cameras, automotive cameras, consumer cameras, and industrial and robotic markets and applications.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revenue over the last three years has been generated primarily from sales of our SoC solutions for incorporation into specialized video and image capture devices such as wearable sports cameras, automotive aftermarket cameras, IP security cameras and cameras incorporated into drones. Our revenue from several of these markets, however, has recently experienced significant declines. As a result, we believe that our future revenue growth, if any, will significantly depend upon our ability to expand within camera markets, particularly in the professional IP security and home security and monitoring camera markets, as well as emerging markets such as AI-enabled security cameras, AI-based driving applications, including auto-parking, driver monitoring systems, advanced blind spot detection, object detection, and deep learning algorithms for HD mapping solutions, OEM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six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six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 and Trends</w:t>
      </w:r>
    </w:p>
    <w:p>
      <w:pPr>
        <w:spacing w:after="0" w:line="121" w:lineRule="exact"/>
        <w:rPr>
          <w:sz w:val="20"/>
          <w:szCs w:val="20"/>
          <w:color w:val="auto"/>
        </w:rPr>
      </w:pPr>
    </w:p>
    <w:p>
      <w:pPr>
        <w:ind w:left="1520" w:right="80" w:hanging="500"/>
        <w:spacing w:after="0" w:line="252" w:lineRule="auto"/>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$56.1 million and $160.8 million for the three and nine months ended October 31, 2020, respectively. This represented a decrease of 17.4% and 6.2% for the three and nine months ended October 31, 2020, respectively, as compared to the same periods in the prior fiscal year. The decreases in revenue were primarily attributable to lower revenue from the professional IP security camera and automotive markets. In the professional IP security camera market, despite continued growth in the North America and Asia regions in fiscal year 2021, lower demand from our two largest China customers caused by higher inventory build-up in fiscal year 2020 and escalated trade tensions between the United States and China, together with less demand from the Europe region, resulted in a significant revenue decrease in this market. The decreased revenue in the automotive markets was primarily due to an overall slowdown in the automotive industry. The decreased revenue was partially offset by increased revenue in the consumer IP security camera and consumer markets, including drone and wearable camera markets. In the consumer IP security camera market, revenue growth continued to be led by the home security and monitoring market in the North America region. In the consumer markets, incorporation of our solutions into newly launched products from Dajiang Innovation Technology Inc., or DJI, resulted in a ramp of SoC shipments in the third quarter of fiscal year 2021, partially offset by decreased revenue in the sports camera market. While revenue declined in the three and nine months ended October 31, 2020, respectively, we experienced sustained demand for our new CV-based solutions in the professional IP security camera market, generated revenue from CV-based solutions in the automotive OEM sensing market and made initial shipments of our CV-based solutions into the consumer IP security camera and automotive aftermarket in fiscal year 2021.</w:t>
      </w:r>
    </w:p>
    <w:p>
      <w:pPr>
        <w:spacing w:after="0" w:line="86" w:lineRule="exact"/>
        <w:rPr>
          <w:rFonts w:ascii="Times New Roman" w:cs="Times New Roman" w:eastAsia="Times New Roman" w:hAnsi="Times New Roman"/>
          <w:sz w:val="18"/>
          <w:szCs w:val="18"/>
          <w:color w:val="auto"/>
        </w:rPr>
      </w:pPr>
    </w:p>
    <w:p>
      <w:pPr>
        <w:ind w:left="1520" w:hanging="500"/>
        <w:spacing w:after="0" w:line="255" w:lineRule="auto"/>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losses of $16.2 million and $47.2 million for the three and nine months ended October 31, 2020, respectively, as compared to operating losses of $7.2 million and $35.8 million for the three and nine months ended October 31, 2019, respectively. In addition to the declines in revenue, the increased operating losses were also attributable to increased operating expenses, partially offset by increased gross margin. The increase in expenses primarily related to increased employee benefit expense, SoC development cost as well as research and development grants from a foreign government in fiscal year 2020 that did not recur in fiscal year 2021. The increased expenses were partially offset by decreased travel expense, consulting services and a COVID-19-related foreign subsidy granted in the second quarter of fiscal year 2021.</w:t>
      </w:r>
    </w:p>
    <w:p>
      <w:pPr>
        <w:spacing w:after="0" w:line="80" w:lineRule="exact"/>
        <w:rPr>
          <w:rFonts w:ascii="Times New Roman" w:cs="Times New Roman" w:eastAsia="Times New Roman" w:hAnsi="Times New Roman"/>
          <w:sz w:val="18"/>
          <w:szCs w:val="18"/>
          <w:color w:val="auto"/>
        </w:rPr>
      </w:pPr>
    </w:p>
    <w:p>
      <w:pPr>
        <w:ind w:left="1520" w:right="40" w:hanging="500"/>
        <w:spacing w:after="0" w:line="258" w:lineRule="auto"/>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$18.3 million for the nine months ended October 31, 2020, as compared to $35.3 million for the nine months ended October 31, 2019. The decreased cash flows from operating activities were primarily due to increased net loss adjusted by non-cash expenses and decreased cash receipts associated with the timing of payments from customers. The decreased cash flows from operating activities were partially offset by decreased cash payments for other operating asset purchases and increased liabilities associated with the timing of payments to suppliers and authorities.</w:t>
      </w:r>
    </w:p>
    <w:p>
      <w:pPr>
        <w:spacing w:after="0" w:line="75" w:lineRule="exact"/>
        <w:rPr>
          <w:rFonts w:ascii="Times New Roman" w:cs="Times New Roman" w:eastAsia="Times New Roman" w:hAnsi="Times New Roman"/>
          <w:sz w:val="18"/>
          <w:szCs w:val="18"/>
          <w:color w:val="auto"/>
        </w:rPr>
      </w:pPr>
    </w:p>
    <w:p>
      <w:pPr>
        <w:ind w:left="1520" w:hanging="500"/>
        <w:spacing w:after="0" w:line="261" w:lineRule="auto"/>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2020, we repurchased a total of 25,719 of our ordinary shares for approximately $1.0 million in cash. On May 29, 2020, our Board of Directors approved an extension of the repurchase program for an additional twelve months ending June 30, 2021. There were no shares repurchased for the three months ended October 31, 2020. As of October 31, 2020, there was approximately $49.0 million available for repurchases through June 30,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COVID-19 Could Adversely Affect our Business in a Material Way. </w:t>
      </w:r>
      <w:r>
        <w:rPr>
          <w:rFonts w:ascii="Times New Roman" w:cs="Times New Roman" w:eastAsia="Times New Roman" w:hAnsi="Times New Roman"/>
          <w:sz w:val="18"/>
          <w:szCs w:val="18"/>
          <w:color w:val="auto"/>
        </w:rPr>
        <w:t>The COVID-19 pandemic has resulted in significant governmental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implemented to control the spread of the virus, including, among others, restrictions on travel and the imposition of remote or work-from-home conditions in many of the locations where we have offices. While we have not yet experienced a significant disruption of our operations as a result of the COVID-19 pandemic, if the remote or work-from-home conditions in any of our offices continues for an extended period of time, we may experience delays in product development, a decreased ability to support our customers, reduced design win activity, and overall lack of productivity. Similarly, while we have not yet experienced a major disruption in our supply chain as a result of the COVID-19 pandemic, we are experiencing longer manufacturing times that, if they persist or worsen, could impact our ability to meet our customers’ demand for our solutions and negatively impact our revenue. Moreover, if there is a significant outbreak that impacts Samsung Electronic Corporation’s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support their customers or reduce or delay demand for their products, which could, in turn, reduce such customers’ demand for our solutions. For example, in the nine months ended October 31, 2020, we saw an overall slowdown in the automotive industry which negatively impacted our revenue related to our computer vision-based solutions in the OEM video recorder market. While we cannot quantify specific impacts of the COVID-19 pandemic or actions taken by governments and businesses in response thereto, our results of operations and financial condition may be negatively affected if we encounter significant supply chain problems, reductions in demand due to our customers or end customers having problems, or other unexpected COVID-19 ramifications.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4" w:name="page25"/>
    <w:bookmarkEnd w:id="24"/>
    <w:p>
      <w:pPr>
        <w:ind w:right="6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Political and Trade Relations Between the United States and China Could Adversely Affect our Business in a Material Way. </w:t>
      </w:r>
      <w:r>
        <w:rPr>
          <w:rFonts w:ascii="Times New Roman" w:cs="Times New Roman" w:eastAsia="Times New Roman" w:hAnsi="Times New Roman"/>
          <w:sz w:val="18"/>
          <w:szCs w:val="18"/>
          <w:color w:val="auto"/>
        </w:rPr>
        <w:t>Trade tensions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China have been escalating, which has, in our view, created and will continue to create an uncertain business environment.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instance, during the nine months ended October 31, 2020, lower demand from our two largest China customers resulted in our revenue decreasing in the professional IP security camera market. Even in the absence of new tariffs or trade restrictions, it is possible that China customers or potential customers could take actions to reduce dependence on the supply of components subject to United States trade laws, including our solutions.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In addition, the escalating social and political tensions in Hong Kong could, in the future, impact the operation of our warehouse facility in Hong Kong, through which a substantial majority of our finished SoCs are shipped to customers or logistic partners. Continued deterioration in political, social or economic conditions in Hong Kong or future actions by the Chinese or U.S. governments, could possibly result in business interruptions, substantially delayed or lost sales, loss of inventory, or increased expenses. The materialization of these risks could have a material adverse effect on our business.</w:t>
      </w:r>
    </w:p>
    <w:p>
      <w:pPr>
        <w:spacing w:after="0" w:line="18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Computer Vision Trends</w:t>
      </w:r>
      <w:r>
        <w:rPr>
          <w:rFonts w:ascii="Times New Roman" w:cs="Times New Roman" w:eastAsia="Times New Roman" w:hAnsi="Times New Roman"/>
          <w:sz w:val="18"/>
          <w:szCs w:val="18"/>
          <w:color w:val="auto"/>
        </w:rPr>
        <w:t>. We expect that computer vision functionality will become an increasingly important requirement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of our current and future markets, including IP security, automotive, and industrial and robotics, and certain consumer markets. As a result, we believe that our ability to develop advanced AI computer vision technology, enable and support customer product development in emerging applications, such as ADAS, advanced blind spot detection, object detection,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and industrial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CV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Shifting Consumer Preferences. </w:t>
      </w:r>
      <w:r>
        <w:rPr>
          <w:rFonts w:ascii="Times New Roman" w:cs="Times New Roman" w:eastAsia="Times New Roman" w:hAnsi="Times New Roman"/>
          <w:sz w:val="18"/>
          <w:szCs w:val="18"/>
          <w:color w:val="auto"/>
        </w:rPr>
        <w:t>Our revenue is also subject to consumer preferences, regarding form factor and functionality, and how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5" w:name="page26"/>
    <w:bookmarkEnd w:id="25"/>
    <w:p>
      <w:pPr>
        <w:ind w:right="2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w:t>
      </w:r>
      <w:r>
        <w:rPr>
          <w:rFonts w:ascii="Times New Roman" w:cs="Times New Roman" w:eastAsia="Times New Roman" w:hAnsi="Times New Roman"/>
          <w:sz w:val="18"/>
          <w:szCs w:val="18"/>
          <w:color w:val="auto"/>
        </w:rPr>
        <w:t>. Historically, our revenue has been significantly concentrated in a small number of end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developed technologies to provide solutions for new markets as they emerged, such as the sports camera, IP security,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CV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Connectivity Trends</w:t>
      </w:r>
      <w:r>
        <w:rPr>
          <w:rFonts w:ascii="Times New Roman" w:cs="Times New Roman" w:eastAsia="Times New Roman" w:hAnsi="Times New Roman"/>
          <w:sz w:val="18"/>
          <w:szCs w:val="18"/>
          <w:color w:val="auto"/>
        </w:rPr>
        <w:t>. Mobile connected devices are ubiquitous today and play an increasingly prominent role in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drone cameras allow consumers to quickly stream or upload video and images to social media platforms.</w:t>
      </w:r>
    </w:p>
    <w:p>
      <w:pPr>
        <w:spacing w:after="0" w:line="18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83"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six to 18 months following a design win; however, in some markets, lengthier product and development cycles are possible, depending on the scope and nature of the project, such as in the automotive OEM market. A portable consumer device typically has a product life cycle of six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160,848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63,078</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72,127</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97,770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103,575</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39,293</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(16,249)</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(7,168)</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(47,153)</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(35,817)</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(15,576)</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(5,251)</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(43,922)</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(29,509)</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(31,811)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8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8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r>
      <w:tr>
        <w:trPr>
          <w:trHeight w:val="173"/>
        </w:trPr>
        <w:tc>
          <w:tcPr>
            <w:tcW w:w="3720" w:type="dxa"/>
            <w:vAlign w:val="bottom"/>
          </w:tcPr>
          <w:p>
            <w:pPr>
              <w:spacing w:after="0"/>
              <w:rPr>
                <w:sz w:val="15"/>
                <w:szCs w:val="15"/>
                <w:color w:val="auto"/>
              </w:rPr>
            </w:pPr>
          </w:p>
        </w:tc>
        <w:tc>
          <w:tcPr>
            <w:tcW w:w="12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Borders>
              <w:bottom w:val="single" w:sz="8" w:color="auto"/>
            </w:tcBorders>
            <w:gridSpan w:val="4"/>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r>
      <w:tr>
        <w:trPr>
          <w:trHeight w:val="22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r>
      <w:tr>
        <w:trPr>
          <w:trHeight w:val="223"/>
        </w:trPr>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3"/>
        </w:trPr>
        <w:tc>
          <w:tcPr>
            <w:tcW w:w="3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r>
      <w:tr>
        <w:trPr>
          <w:trHeight w:val="223"/>
        </w:trPr>
        <w:tc>
          <w:tcPr>
            <w:tcW w:w="3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7"/>
        </w:trPr>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6"/>
        </w:trPr>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36"/>
        </w:trPr>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HD and Ultra HD video and image processing SoC solutions to IP security camera OEMs, IP security camera ODMs, OEM automotive or Tier-1 automotive suppliers, either directly or through our distributors. In recent years, our SoC solutions have been primarily used in camera markets, such as IP security, automotive video recorder, drone and wearable cameras. Although we expect these camera markets, in particular the IP security and automotive video recorder markets, to continue to generate revenue for the foreseeable future, we have recently introduced new SoCs targeting emerging CV applications in the IP security camera, OEM automotive and industrial and robotics markets. We derive a substantial portion of our revenue from sales made indirectly through one of our distributors, Wintech Microelectronics Co., Ltd., or Wintech, and directly to one of our ODM customers, Chicony Electronics Co., Ltd., or Chicony.</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seasonal fluctuations in our quarterly revenue with our third fiscal quarter normally being the highest revenue quarter. This fluctuation has been driven primarily by increased sales in IP security and consumer camera markets as our customers build inventories in preparation for the holiday shopping season.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7" w:name="page28"/>
    <w:bookmarkEnd w:id="27"/>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CV specialized use cases emerge and video capture continues to proliferate.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and other income from debt security investments and cash deposits with financial institutions.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140" w:firstLine="478"/>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countries such as the United States, China, Taiwan, Hong Kong, Italy,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9" w:lineRule="exact"/>
        <w:rPr>
          <w:sz w:val="20"/>
          <w:szCs w:val="20"/>
          <w:color w:val="auto"/>
        </w:rPr>
      </w:pPr>
    </w:p>
    <w:p>
      <w:pPr>
        <w:ind w:right="140" w:firstLine="478"/>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October 31, 2020 and 2019</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200" w:type="dxa"/>
            <w:vAlign w:val="bottom"/>
          </w:tcPr>
          <w:p>
            <w:pPr>
              <w:spacing w:after="0"/>
              <w:rPr>
                <w:sz w:val="13"/>
                <w:szCs w:val="13"/>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bottom w:val="single" w:sz="8" w:color="auto"/>
            </w:tcBorders>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2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  56,090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67,922</w:t>
            </w:r>
          </w:p>
        </w:tc>
        <w:tc>
          <w:tcPr>
            <w:tcW w:w="14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  (11,832)</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160,848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171,520</w:t>
            </w:r>
          </w:p>
        </w:tc>
        <w:tc>
          <w:tcPr>
            <w:tcW w:w="14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  (10,672)</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decreased revenue for the three and nine months ended October 31, 2020, as compared to the same periods in the prior fiscal year, was primarily attributable to lower revenue from the professional IP security camera and automotive markets. In the professional IP security camera market, despite continued growth in the North America and Asia regions in fiscal year 2021, lower demand from our two largest China customers caused by higher inventory build-up in fiscal year 2020 and escalated trade tensions between the United States and China, together with less demand from the Europe region, resulted in a significant revenue decrease in this market. The decreased revenue in the automotive markets was primarily due to an overall slowdown in the automotive industry. The decreased revenue was partially offset by increased revenue in the consumer IP security camera and consumer markets, including drone and wearable camera markets. In the consumer IP security camera market, revenue growth continued to be led by the home security and monitoring market in the North America region. In the consumer markets, incorporation of our solutions into newly launched products from DJI resulted in a ramp of SoC shipments in the third quarter of fiscal year 2021, partially offset by decreased revenue in the sports camera market. While revenue declined in the three and nine months ended October 31, 2020, respectively, we experienced sustained demand for our new CV-based solutions in the professional IP security camera market, generated revenue from CV-based solutions in the automotive OEM sensing market and made initial shipments of our CV-based solutions into the consumer IP security camera and automotive aftermarket in fiscal year 2021.</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60" w:type="dxa"/>
            <w:vAlign w:val="bottom"/>
          </w:tcPr>
          <w:p>
            <w:pPr>
              <w:spacing w:after="0"/>
              <w:rPr>
                <w:sz w:val="13"/>
                <w:szCs w:val="13"/>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60" w:type="dxa"/>
            <w:vAlign w:val="bottom"/>
          </w:tcPr>
          <w:p>
            <w:pPr>
              <w:spacing w:after="0"/>
              <w:rPr>
                <w:sz w:val="13"/>
                <w:szCs w:val="13"/>
                <w:color w:val="auto"/>
              </w:rPr>
            </w:pPr>
          </w:p>
        </w:tc>
        <w:tc>
          <w:tcPr>
            <w:tcW w:w="12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40" w:type="dxa"/>
            <w:vAlign w:val="bottom"/>
            <w:gridSpan w:val="4"/>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  21,298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28,819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2"/>
              <w:spacing w:after="0"/>
              <w:rPr>
                <w:sz w:val="20"/>
                <w:szCs w:val="20"/>
                <w:color w:val="auto"/>
              </w:rPr>
            </w:pPr>
            <w:r>
              <w:rPr>
                <w:rFonts w:ascii="Times New Roman" w:cs="Times New Roman" w:eastAsia="Times New Roman" w:hAnsi="Times New Roman"/>
                <w:sz w:val="18"/>
                <w:szCs w:val="18"/>
                <w:color w:val="auto"/>
              </w:rPr>
              <w:t>$   (7,521)</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11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  63,078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72,127</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   (9,049)</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34,792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220" w:type="dxa"/>
            <w:vAlign w:val="bottom"/>
          </w:tcPr>
          <w:p>
            <w:pPr>
              <w:spacing w:after="0"/>
              <w:rPr>
                <w:sz w:val="21"/>
                <w:szCs w:val="21"/>
                <w:color w:val="auto"/>
              </w:rPr>
            </w:pP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(4,311)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97,770</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99,393</w:t>
            </w:r>
          </w:p>
        </w:tc>
        <w:tc>
          <w:tcPr>
            <w:tcW w:w="200" w:type="dxa"/>
            <w:vAlign w:val="bottom"/>
          </w:tcPr>
          <w:p>
            <w:pPr>
              <w:spacing w:after="0"/>
              <w:rPr>
                <w:sz w:val="21"/>
                <w:szCs w:val="21"/>
                <w:color w:val="auto"/>
              </w:rPr>
            </w:pPr>
          </w:p>
        </w:tc>
        <w:tc>
          <w:tcPr>
            <w:tcW w:w="126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(1,623)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62.0%</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Cost of revenue decreased for the three and nine months ended October 31, 2020, as compared to the same periods in the prior fiscal year, primarily due to lower SoC shipments in the professional IP security camera market, partially offset by increased shipments in the consumer IP security camera and consumer markets.</w:t>
      </w:r>
    </w:p>
    <w:p>
      <w:pPr>
        <w:spacing w:after="0" w:line="176" w:lineRule="exact"/>
        <w:rPr>
          <w:sz w:val="20"/>
          <w:szCs w:val="20"/>
          <w:color w:val="auto"/>
        </w:rPr>
      </w:pPr>
    </w:p>
    <w:p>
      <w:pPr>
        <w:jc w:val="both"/>
        <w:ind w:right="260" w:firstLine="510"/>
        <w:spacing w:after="0" w:line="266" w:lineRule="auto"/>
        <w:rPr>
          <w:sz w:val="20"/>
          <w:szCs w:val="20"/>
          <w:color w:val="auto"/>
        </w:rPr>
      </w:pPr>
      <w:r>
        <w:rPr>
          <w:rFonts w:ascii="Times New Roman" w:cs="Times New Roman" w:eastAsia="Times New Roman" w:hAnsi="Times New Roman"/>
          <w:sz w:val="18"/>
          <w:szCs w:val="18"/>
          <w:color w:val="auto"/>
        </w:rPr>
        <w:t>Gross margin increased for the three and nine months ended October 31, 2020, as compared to the same periods in the prior fiscal year, primarily due to gross margin improvement in the professional IP security camera market as a result of customer concentration shift from the China region to the North America and Asia regions other than China.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82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8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4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Research and development  $   36,573</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4,093</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103,575</w:t>
            </w:r>
          </w:p>
        </w:tc>
        <w:tc>
          <w:tcPr>
            <w:tcW w:w="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95,917</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7,658</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 increased for the three and nine months ended October 31, 2020, as compared to the same periods in the prior fiscal year, primarily due to increased employee benefit expense and SoC development cost. For the three and nine months ended October 31, 2020, employee benefit expense increased by approximately $1.3 million and $1.9 million, respectively, as a result of issuance of stock awards, employee benefit programs and an increase in headcount. Our engineering headcount was 568 at October 31, 2020 compared to 560 at October 31, 2019. SoC development cost increased by $2.7 million and $4.2 million for the three and nine months ended October 31, 2020, respectively, due to project timing and the number of chips in development. The increased expense was also attributable to approximately $0.5 million and $3.7 million of research and development grants from a foreign government during the three and nine months ended October 31, 2019, respectively, that did not recur in the current fiscal year. The increased expense was partially offset by decreased travel expense and contractor services caused by COVID-19 pandemic restrictions. For the three and nine months ended October 31, 2020, travel expense and contractor services decreased by an aggregate of $0.4 million and $1.4 million, respectively. For the nine months ended October 31, 2020, approximately $0.7 million of a COVID-19-related subsidy was granted by a foreign government.</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bottom w:val="single" w:sz="8" w:color="auto"/>
            </w:tcBorders>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1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   14,468</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677</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41,348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39,293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2,055</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nine months ended October 31, 2020, as compared to the same periods in the prior fiscal year, primarily due to approximately $1.0 million and $1.6 million of additional employee benefit expense, respectively, as a result of issuance of stock awards and employee benefit programs. For the nine months ended October 31, 2020, the increase was also attributable to approximately $1.6 million of additional professional services and facility related cost. The increased expense was partially offset by approximately $0.4 million and $1.2 million of less expenditures on travel and marketing activities for the three and nine months ended October 31, 2020, respectively, caused by COVID-19 pandemic restrictions.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gridSpan w:val="5"/>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(1,244)</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8"/>
                <w:szCs w:val="18"/>
                <w:color w:val="auto"/>
              </w:rPr>
              <w:t>(3,077)</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for the three and nine months ended October 31, 2020, as compared to the same periods in the prior fiscal year, was primarily due to decreases of approximately $1.3 million and $3.2 million, respectively, in interest and other income from our deposits and debt security investments as a result of lower interest rates and a higher number of debt securities purchased at a premium in the current fiscal year.</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31,</w:t>
            </w: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7"/>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8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w:t>
            </w: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1,502</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rPr>
              <w:t>2,444</w:t>
            </w:r>
          </w:p>
        </w:tc>
        <w:tc>
          <w:tcPr>
            <w:tcW w:w="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259.4%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3,375</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1,073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80" w:type="dxa"/>
            <w:vAlign w:val="bottom"/>
          </w:tcPr>
          <w:p>
            <w:pPr>
              <w:spacing w:after="0"/>
              <w:rPr>
                <w:sz w:val="22"/>
                <w:szCs w:val="22"/>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2"/>
                <w:szCs w:val="22"/>
                <w:color w:val="auto"/>
              </w:rPr>
            </w:pPr>
          </w:p>
        </w:tc>
        <w:tc>
          <w:tcPr>
            <w:tcW w:w="126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r>
              <w:rPr>
                <w:rFonts w:ascii="Times New Roman" w:cs="Times New Roman" w:eastAsia="Times New Roman" w:hAnsi="Times New Roman"/>
                <w:sz w:val="19"/>
                <w:szCs w:val="19"/>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9"/>
                <w:szCs w:val="19"/>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3"/>
        </w:trPr>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0" w:name="page31"/>
    <w:bookmarkEnd w:id="30"/>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that quarter.</w:t>
      </w:r>
    </w:p>
    <w:p>
      <w:pPr>
        <w:spacing w:after="0" w:line="162"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increase in income tax expense for the three and nine months ended October 31, 2020, as compared to the same periods in the prior fiscal year, was primarily due to a decrease in the proportion of profits generated in lower tax jurisdictions, as well as an increase in non-deductible stock-based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As of October 31, 2020 and January 31, 2020, we had cash, cash equivalents and marketable debt securities of approximately $423.6 million and $404.7 million, respectively. We invest in highly liquid, short-term marketable debt securities and hold these investments as available-for-sale securities. As of October 31, 2020, these securities had a fair value of approximately $214.4 million with immaterial unrealized losses caused by market fluctuations.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55"/>
        </w:trPr>
        <w:tc>
          <w:tcPr>
            <w:tcW w:w="49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(25,961)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80" w:type="dxa"/>
            <w:vAlign w:val="bottom"/>
            <w:shd w:val="clear" w:color="auto" w:fill="CFF0FC"/>
          </w:tcPr>
          <w:p>
            <w:pPr>
              <w:spacing w:after="0"/>
              <w:rPr>
                <w:sz w:val="19"/>
                <w:szCs w:val="19"/>
                <w:color w:val="auto"/>
              </w:rPr>
            </w:pPr>
          </w:p>
        </w:tc>
      </w:tr>
      <w:tr>
        <w:trPr>
          <w:trHeight w:val="205"/>
        </w:trPr>
        <w:tc>
          <w:tcPr>
            <w:tcW w:w="4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(5,894)</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58,261</w:t>
            </w:r>
          </w:p>
        </w:tc>
        <w:tc>
          <w:tcPr>
            <w:tcW w:w="8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for the nine months ended October 31, 2020, as compared to the same period in the prior fiscal year, primarily due to increased net loss adjusted by non-cash expenses and decreased cash receipts associated with the timing of payments from customers. The decreased cash flows from operating activities were partially offset by decreased cash payments for other operating asset purchases and increased liabilities associated with the timing of payments to suppliers and authorities.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for the nine months ended October 31, 2020, as compared to the same period in the prior fiscal year, primarily due to approximately $14.3 million of additional investments in debt securities, as well as approximately $27.9 million less cash receipts from the sale and maturity of debt securities.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jc w:val="both"/>
        <w:ind w:right="140" w:firstLine="51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decreased for the nine months ended October 31, 2020, as compared to the same period in the prior fiscal year, primarily due to approximately $3.0 million of less cash proceeds from option exercises and employee stock purchase withholdings, $1.0 million of cash used for the repurchasing of our ordinary shares under the stock repurchase program, as well as an additional $0.8 million of payment for intangible asset purchases.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Since the inception of the stock repurchase programs in June 2016, a total of $275.0 million has been authorized for repurchase, and to date, we have repurchased a total of 4,011,595 shares for approximately $175.8 million in cash under the programs. As of October 31, 2020, $49.0 million remained available for repurchases under the current repurchase program through June 30, 2021.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As of October 31, 2020, we had cash, cash equivalents and marketable debt securities of approximately $423.6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these securities could contain covenants that would restrict our operations. We may require additional capital beyond our currently anticipated amounts. Additional capital may not be available to us on reasonable terms, or at all.</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from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our costs;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research and development of new technologies and products to address new markets and applications;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duration of COVID-19 impact;</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products;</w:t>
      </w:r>
    </w:p>
    <w:p>
      <w:pPr>
        <w:spacing w:after="0" w:line="117" w:lineRule="exact"/>
        <w:rPr>
          <w:rFonts w:ascii="Times New Roman" w:cs="Times New Roman" w:eastAsia="Times New Roman" w:hAnsi="Times New Roman"/>
          <w:sz w:val="18"/>
          <w:szCs w:val="18"/>
          <w:color w:val="auto"/>
        </w:rPr>
      </w:pPr>
    </w:p>
    <w:p>
      <w:pPr>
        <w:ind w:left="1520" w:right="380" w:hanging="500"/>
        <w:spacing w:after="0" w:line="282" w:lineRule="auto"/>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or participating in litigation-related activities;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2020, we had purchase obligations with our independent contract manufacturers of $37.1 million.</w:t>
      </w:r>
    </w:p>
    <w:p>
      <w:pPr>
        <w:spacing w:after="0" w:line="22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Except as described above with respect to the manufacturing purchase obligations, there were no other material changes in our contractual obligations, commitments and contingencies from those disclosed in our Annual Report on Form 10-K for the fiscal year ended January 31, 2020. Please see Item 7, “Management’s Discussion and Analysis of Financial Condition and Results of Operations – Contractual Obligations, Commitments and Contingencies” in our Annual Report on Form 10-K for the fiscal year ended January 31, 2020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As of October 31, 2020,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20" w:firstLine="578"/>
        <w:spacing w:after="0" w:line="289"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policies and estimates as compared to the critical accounting policies and estimates described in our Annual Report on Form 10-K for the 2020 fiscal year filed with the SEC on March 27, 2020, except for the recently adopted accounting guidance on measurement of credit losses on financial instruments as discussed in Notes 1 and 2 of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As of October 31, 2020 and January 31, 2020, we had cash, cash equivalents and marketable debt securities totaling $423.6 million and $404.7 million, respectively. Our cash is deposited in checking accounts with reputable financial institutions. The cash equivalents and marketable debt securities consist primarily of investments in money market funds, asset-backed securities, commercial paper, U.S. government securities, and debt securities of corporations. Our cash is held for working capital purposes. We do not enter into investments for trading or speculative purposes.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11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The primary objectives of our investment activities are to preserve capital, provide liquidity and maximize income without significantly increasing risk. Some of the securities we invest in are subject to market risk. This means that a change in prevailing interest rates may </w:t>
      </w:r>
      <w:r>
        <w:rPr>
          <w:rFonts w:ascii="Times New Roman" w:cs="Times New Roman" w:eastAsia="Times New Roman" w:hAnsi="Times New Roman"/>
          <w:sz w:val="18"/>
          <w:szCs w:val="18"/>
          <w:color w:val="212529"/>
        </w:rPr>
        <w:t>affect the interest income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our cash, cash equivalents and marketable debt securities, and the market value of those securities</w:t>
      </w:r>
      <w:r>
        <w:rPr>
          <w:rFonts w:ascii="Times New Roman" w:cs="Times New Roman" w:eastAsia="Times New Roman" w:hAnsi="Times New Roman"/>
          <w:sz w:val="18"/>
          <w:szCs w:val="18"/>
          <w:color w:val="000000"/>
        </w:rPr>
        <w:t>. To minimize this risk, we maintain our portfolio in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variety of debt securities with high liquidity and low credit risk.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and the Chinese Yuan Renminbi. Our results of operations and cash flows are subject to fluctuations due to changes in foreign currency exchange rates, particularly with respect to a strengthening of the U.S. dollar.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Based upon such evaluation, our Chief Executive Officer and Chief Financial Officer have concluded that, as of October 31, 2020, our disclosure controls and procedures were effective at the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October 31, 2020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engaged in any material legal proceedings at this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162" w:lineRule="exact"/>
        <w:rPr>
          <w:sz w:val="20"/>
          <w:szCs w:val="20"/>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affect our business in a material way.</w:t>
      </w:r>
    </w:p>
    <w:p>
      <w:pPr>
        <w:spacing w:after="0" w:line="225"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our revenue and financial condition could be harmed.</w:t>
      </w:r>
    </w:p>
    <w:p>
      <w:pPr>
        <w:spacing w:after="0" w:line="225"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to several China customers has been restricted. In addition, we are subject to governmental export and import controls that could subject us to liability or impair our ability to compete in international markets, including China.</w:t>
      </w:r>
    </w:p>
    <w:p>
      <w:pPr>
        <w:spacing w:after="0" w:line="161"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possible trade tariffs and trade restrictions, may have an impact on our business and financial condition in ways that we currently cannot predict. Our primary inventory warehouse is located in Hong Kong and may be affected by recent political, social and economic conditions in Hong Kong.</w:t>
      </w:r>
    </w:p>
    <w:p>
      <w:pPr>
        <w:spacing w:after="0" w:line="175" w:lineRule="exact"/>
        <w:rPr>
          <w:rFonts w:ascii="Times New Roman" w:cs="Times New Roman" w:eastAsia="Times New Roman" w:hAnsi="Times New Roman"/>
          <w:sz w:val="18"/>
          <w:szCs w:val="18"/>
          <w:color w:val="auto"/>
        </w:rPr>
      </w:pPr>
    </w:p>
    <w:p>
      <w:pPr>
        <w:ind w:left="740" w:right="52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161"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on a timely basis, our ability to attract and retain customers could be impaired and our competitive position could be harmed.</w:t>
      </w:r>
    </w:p>
    <w:p>
      <w:pPr>
        <w:spacing w:after="0" w:line="161"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61" w:lineRule="exact"/>
        <w:rPr>
          <w:rFonts w:ascii="Times New Roman" w:cs="Times New Roman" w:eastAsia="Times New Roman" w:hAnsi="Times New Roman"/>
          <w:sz w:val="18"/>
          <w:szCs w:val="18"/>
          <w:color w:val="auto"/>
        </w:rPr>
      </w:pPr>
    </w:p>
    <w:p>
      <w:pPr>
        <w:ind w:left="740" w:right="60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and/or excess, obsolete or insufficient inventory could result.</w:t>
      </w:r>
    </w:p>
    <w:p>
      <w:pPr>
        <w:spacing w:after="0" w:line="161" w:lineRule="exact"/>
        <w:rPr>
          <w:rFonts w:ascii="Times New Roman" w:cs="Times New Roman" w:eastAsia="Times New Roman" w:hAnsi="Times New Roman"/>
          <w:sz w:val="18"/>
          <w:szCs w:val="18"/>
          <w:color w:val="auto"/>
        </w:rPr>
      </w:pPr>
    </w:p>
    <w:p>
      <w:pPr>
        <w:ind w:left="740" w:right="56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4" w:name="page35"/>
    <w:bookmarkEnd w:id="34"/>
    <w:p>
      <w:pPr>
        <w:ind w:left="368" w:right="46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w:t>
      </w:r>
    </w:p>
    <w:p>
      <w:pPr>
        <w:spacing w:after="0" w:line="161" w:lineRule="exact"/>
        <w:rPr>
          <w:rFonts w:ascii="Times New Roman" w:cs="Times New Roman" w:eastAsia="Times New Roman" w:hAnsi="Times New Roman"/>
          <w:sz w:val="18"/>
          <w:szCs w:val="18"/>
          <w:color w:val="auto"/>
        </w:rPr>
      </w:pPr>
    </w:p>
    <w:p>
      <w:pPr>
        <w:ind w:left="368" w:right="34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225" w:lineRule="exact"/>
        <w:rPr>
          <w:rFonts w:ascii="Times New Roman" w:cs="Times New Roman" w:eastAsia="Times New Roman" w:hAnsi="Times New Roman"/>
          <w:sz w:val="18"/>
          <w:szCs w:val="18"/>
          <w:color w:val="auto"/>
        </w:rPr>
      </w:pPr>
    </w:p>
    <w:p>
      <w:pPr>
        <w:ind w:left="368" w:right="28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161" w:lineRule="exact"/>
        <w:rPr>
          <w:rFonts w:ascii="Times New Roman" w:cs="Times New Roman" w:eastAsia="Times New Roman" w:hAnsi="Times New Roman"/>
          <w:sz w:val="18"/>
          <w:szCs w:val="18"/>
          <w:color w:val="auto"/>
        </w:rPr>
      </w:pPr>
    </w:p>
    <w:p>
      <w:pPr>
        <w:ind w:left="368" w:right="10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video and image processing solutions in our target markets have historically decreased over time and will likely do so in the future, which could harm our revenue and gross margins.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225" w:lineRule="exact"/>
        <w:rPr>
          <w:rFonts w:ascii="Times New Roman" w:cs="Times New Roman" w:eastAsia="Times New Roman" w:hAnsi="Times New Roman"/>
          <w:sz w:val="18"/>
          <w:szCs w:val="18"/>
          <w:color w:val="auto"/>
        </w:rPr>
      </w:pPr>
    </w:p>
    <w:p>
      <w:pPr>
        <w:ind w:left="368" w:right="68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We may have difficulty accurately predicting our future revenue and appropriately budgeting our expenses.</w:t>
      </w:r>
    </w:p>
    <w:p>
      <w:pPr>
        <w:spacing w:after="0" w:line="161" w:lineRule="exact"/>
        <w:rPr>
          <w:rFonts w:ascii="Times New Roman" w:cs="Times New Roman" w:eastAsia="Times New Roman" w:hAnsi="Times New Roman"/>
          <w:sz w:val="18"/>
          <w:szCs w:val="18"/>
          <w:color w:val="auto"/>
        </w:rPr>
      </w:pPr>
    </w:p>
    <w:p>
      <w:pPr>
        <w:ind w:left="368" w:right="6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or our inability to collect from them, may cause disruptions in our shipments, which may adversely affect our operations and financial condition.</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225" w:lineRule="exact"/>
        <w:rPr>
          <w:rFonts w:ascii="Times New Roman" w:cs="Times New Roman" w:eastAsia="Times New Roman" w:hAnsi="Times New Roman"/>
          <w:sz w:val="18"/>
          <w:szCs w:val="18"/>
          <w:color w:val="auto"/>
        </w:rPr>
      </w:pPr>
    </w:p>
    <w:p>
      <w:pPr>
        <w:ind w:left="368" w:right="52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161" w:lineRule="exact"/>
        <w:rPr>
          <w:rFonts w:ascii="Times New Roman" w:cs="Times New Roman" w:eastAsia="Times New Roman" w:hAnsi="Times New Roman"/>
          <w:sz w:val="18"/>
          <w:szCs w:val="18"/>
          <w:color w:val="auto"/>
        </w:rPr>
      </w:pPr>
    </w:p>
    <w:p>
      <w:pPr>
        <w:ind w:left="368" w:right="100" w:hanging="368"/>
        <w:spacing w:after="0" w:line="266"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rFonts w:ascii="Times New Roman" w:cs="Times New Roman" w:eastAsia="Times New Roman" w:hAnsi="Times New Roman"/>
          <w:sz w:val="18"/>
          <w:szCs w:val="18"/>
          <w:color w:val="auto"/>
        </w:rPr>
      </w:pPr>
    </w:p>
    <w:p>
      <w:pPr>
        <w:ind w:left="368" w:right="2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Camera manufacturers incorporate components supplied by multiple third parties, and a supply shortage or delay in delivery of these components could delay orders for our solutions by our customers.</w:t>
      </w:r>
    </w:p>
    <w:p>
      <w:pPr>
        <w:spacing w:after="0" w:line="161" w:lineRule="exact"/>
        <w:rPr>
          <w:rFonts w:ascii="Times New Roman" w:cs="Times New Roman" w:eastAsia="Times New Roman" w:hAnsi="Times New Roman"/>
          <w:sz w:val="18"/>
          <w:szCs w:val="18"/>
          <w:color w:val="auto"/>
        </w:rPr>
      </w:pPr>
    </w:p>
    <w:p>
      <w:pPr>
        <w:ind w:left="368" w:hanging="368"/>
        <w:spacing w:after="0" w:line="312" w:lineRule="auto"/>
        <w:tabs>
          <w:tab w:leader="none" w:pos="36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9" w:lineRule="exact"/>
        <w:rPr>
          <w:rFonts w:ascii="Times New Roman" w:cs="Times New Roman" w:eastAsia="Times New Roman" w:hAnsi="Times New Roman"/>
          <w:sz w:val="17"/>
          <w:szCs w:val="17"/>
          <w:color w:val="auto"/>
        </w:rPr>
      </w:pPr>
    </w:p>
    <w:p>
      <w:pPr>
        <w:ind w:left="368" w:right="8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61" w:lineRule="exact"/>
        <w:rPr>
          <w:rFonts w:ascii="Times New Roman" w:cs="Times New Roman" w:eastAsia="Times New Roman" w:hAnsi="Times New Roman"/>
          <w:sz w:val="18"/>
          <w:szCs w:val="18"/>
          <w:color w:val="auto"/>
        </w:rPr>
      </w:pPr>
    </w:p>
    <w:p>
      <w:pPr>
        <w:ind w:left="368" w:right="320" w:hanging="368"/>
        <w:spacing w:after="0" w:line="266"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patents or other intellectual property could affect our customers, which could trigger our indemnification obligations to them and result in substantial expense to us.</w:t>
      </w:r>
    </w:p>
    <w:p>
      <w:pPr>
        <w:spacing w:after="0" w:line="17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 which could adversely affect our business.</w:t>
      </w:r>
    </w:p>
    <w:p>
      <w:pPr>
        <w:spacing w:after="0" w:line="225" w:lineRule="exact"/>
        <w:rPr>
          <w:rFonts w:ascii="Times New Roman" w:cs="Times New Roman" w:eastAsia="Times New Roman" w:hAnsi="Times New Roman"/>
          <w:sz w:val="18"/>
          <w:szCs w:val="18"/>
          <w:color w:val="auto"/>
        </w:rPr>
      </w:pPr>
    </w:p>
    <w:p>
      <w:pPr>
        <w:ind w:left="368" w:right="4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200" w:lineRule="exact"/>
        <w:rPr>
          <w:sz w:val="20"/>
          <w:szCs w:val="20"/>
          <w:color w:val="auto"/>
        </w:rPr>
      </w:pPr>
    </w:p>
    <w:p>
      <w:pPr>
        <w:spacing w:after="0" w:line="394"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8"/>
          </w:cols>
          <w:pgMar w:left="692" w:top="121" w:right="359" w:bottom="1440" w:gutter="0" w:footer="0" w:header="0"/>
        </w:sectPr>
      </w:pPr>
    </w:p>
    <w:bookmarkStart w:id="35" w:name="page36"/>
    <w:bookmarkEnd w:id="35"/>
    <w:p>
      <w:pPr>
        <w:ind w:left="740" w:right="8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61" w:lineRule="exact"/>
        <w:rPr>
          <w:rFonts w:ascii="Times New Roman" w:cs="Times New Roman" w:eastAsia="Times New Roman" w:hAnsi="Times New Roman"/>
          <w:sz w:val="18"/>
          <w:szCs w:val="18"/>
          <w:color w:val="auto"/>
        </w:rPr>
      </w:pPr>
    </w:p>
    <w:p>
      <w:pPr>
        <w:ind w:left="740" w:right="74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regulatory compliance requirements, which are costly to comply with, and our failure to comply with these requirements could harm our business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in a material way.</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global COVID-19 pandemic has significantly affected the populations of the United States, Italy, China and many other countries. The outbreak has resulted in significant governmental measures being implemented to control the spread of COVID-19, including, among others, shelter in place orders and restrictions on travel, manufacturing and the movement of employees in many regions of the world, as well as responsive measures from businesses. We have had to impose remote or work from home conditions in many of our offices, including the United States, Italy, Japan and South Korea. If remote or work-from-home conditions in any of our offices continue for an extended period of time, we may experience delays in product development, a decreased ability to support our customers, reduced design win activity, and overall lack of productivity. The majority of our SoCs are manufactured in South Korea and assembled and tested by third parties in Taiwan. In addition, certain of our logistics and shipping operations are in Taiwan and Hong Kong. If any of our third-party manufacturing, assembly and testing partners or our logistics and shipping operations are unable to operate efficiently or at all due to responsive measures to COVID-19, we may experience delays in our supply chain and be unable to meet our customers’ expectations and requirements. While we have not yet experienced a major disruption in our supply chain as a result of the COVID-19 pandemic, we are experiencing longer manufacturing times due to shortages of materials used to assemble our products caused in part by COVID-19 that, if such conditions persist or worsen, could impact our ability to meet our customers’ demand for our solutions and negatively impact our revenue. Similarly, our customers and potential customers may also experience delays in the development of their products, reduced sales activity, decreased ability to support their customers, closures of their manufacturing facilities or inability to obtain other components, as a result of measures implemented to control the spread of COVID-19. Such impacts were experienced in the automotive market, and to a lesser degree in the home security and monitoring camera market, in the first and second quarters of 2020 and could occur again. COVID-19 has negatively impacted the overall global economy and, as a result, may negatively impact demand for our customers’ products and, in turn, impact demand for our solutions. If COVID-19 continues to progress in ways that further disrupt the manufacturing, shipment and buying patterns of our products or the products of our customers, or further deteriorates the global economy, it may materially negatively impact our operating results for the fourth quarter of fiscal year 2021 and subsequent periods, including revenue, gross margins, operating margins, cash flows and other operating results and our overall business.</w:t>
      </w:r>
    </w:p>
    <w:p>
      <w:pPr>
        <w:spacing w:after="0" w:line="185"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37" w:lineRule="exact"/>
        <w:rPr>
          <w:sz w:val="20"/>
          <w:szCs w:val="20"/>
          <w:color w:val="auto"/>
        </w:rPr>
      </w:pPr>
    </w:p>
    <w:p>
      <w:pPr>
        <w:ind w:right="40" w:firstLine="510"/>
        <w:spacing w:after="0" w:line="22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179" w:lineRule="exact"/>
        <w:rPr>
          <w:sz w:val="20"/>
          <w:szCs w:val="20"/>
          <w:color w:val="auto"/>
        </w:rPr>
      </w:pPr>
    </w:p>
    <w:p>
      <w:pPr>
        <w:ind w:right="60" w:firstLine="510"/>
        <w:spacing w:after="0" w:line="227"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other products or other product categories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our revenue and financial condition could be harmed.</w:t>
      </w:r>
    </w:p>
    <w:p>
      <w:pPr>
        <w:spacing w:after="0" w:line="12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Years ago, a substantial portion of our revenue was generated from sales of our SoCs to OEMs and ODMs of HD video cameras, including IP security cameras, wearable cameras and drones. Our revenue from several of these markets, however, has experienced significant declines. As a result, we believe that our future revenue growth, if any, will significantly depend on our ability to expand within the camera markets with our new artificial intelligence, or AI, computer vision SoC solutions, particularly in emerging markets such as the OEM automotive, robotics and industrial markets, as well as the existing professional IP security and home security and monitoring camera markets. Each of these markets presents distinct and substantial risks and, in many cases, requires us to develop new functionality or software to address the particular requirements of that market. We anticipate that as we continue to move into new markets, such as the OEM automotive, robotics and industrial markets, we will likely face competition from larger competitors with greater resources and more history in these markets. If any of these markets do not develop as we currently anticipate, or if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If we fail to penetrate these or other new markets we are targeting, our financial condition would likely</w:t>
      </w:r>
    </w:p>
    <w:p>
      <w:pPr>
        <w:spacing w:after="0" w:line="1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suffer. Moreover, if we are successful in achieving design wins in these new markets, it will likely take longer to generate revenue from such design wins than in our current markets.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On October 9,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While the addition of Hikvision and Dahua to the Entity List negatively impacts our ability to ship items subject to BIS regulations, including US-produced SoC solutions, to these entities, we have determined that that we are able to ship some foreign-produced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and Dahua,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in October 2019 or of any additional governmental actions, any of which could have a long-term adverse effect on our business, operating results and financial condition.</w:t>
      </w:r>
    </w:p>
    <w:p>
      <w:pPr>
        <w:spacing w:after="0" w:line="193" w:lineRule="exact"/>
        <w:rPr>
          <w:sz w:val="20"/>
          <w:szCs w:val="20"/>
          <w:color w:val="auto"/>
        </w:rPr>
      </w:pPr>
    </w:p>
    <w:p>
      <w:pPr>
        <w:ind w:right="5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Beyond the BIS actions relating to Hikvision and Dahua, general trade tensions between the United States and China have been escalating, which has, in our view, created and will continue to create an uncertain business environment. For example, BIS has added over 150 entities related to Huawei Technologies Co., Ltd. to the Entity List and created new controls on foreign-produced items when one of these entities is a party to the transaction.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7" w:name="page38"/>
    <w:bookmarkEnd w:id="37"/>
    <w:p>
      <w:pPr>
        <w:ind w:right="340" w:firstLine="58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51" w:lineRule="exact"/>
        <w:rPr>
          <w:sz w:val="20"/>
          <w:szCs w:val="20"/>
          <w:color w:val="auto"/>
        </w:rPr>
      </w:pPr>
    </w:p>
    <w:p>
      <w:pPr>
        <w:ind w:right="140" w:firstLine="584"/>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83"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7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 or 5 nanometer, or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84"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recent political, social and economic conditions in Hong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Kong.</w:t>
      </w:r>
    </w:p>
    <w:p>
      <w:pPr>
        <w:spacing w:after="0" w:line="99"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logistic partners. BIS has imposed additional restrictions on exports and reexports of U.S.-controlled items to Hong Kong by removing preferential treatment that Hong Kong used to receive and imposing more stringent licensing requirements similar to those applicable to China. Hong Kong has recently experienced, and continues to experience, significant political unrest and social strife, including protests that resulted in the closing of the Hong Kong international airport on August 12, 2019 for two days. Recently, in response to national security legislation adopted by the Chinese government, the U.S. Secretary of State certified to the U.S. Congress on May 27, 2020 that Hong Kong no longer maintains a sufficient degree of autonomy from China to warrant special treatment by the U.S. While such certification, and subsequent statements made by the U.S. President relating to Hong Kong’s status, do not have an immediate impact on Hong Kong for trade or other purposes, these recent actions represent an escalation in political and trade tensions involving the U.S, China and Hong Kong. It is possible that the U.S. government may take future measures to impose stricter export controls or duties on shipments made to Hong Kong, add additional parties to the Entity List, or reduce preferential treatment currently accorded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187" w:lineRule="exact"/>
        <w:rPr>
          <w:sz w:val="20"/>
          <w:szCs w:val="20"/>
          <w:color w:val="auto"/>
        </w:rPr>
      </w:pPr>
    </w:p>
    <w:p>
      <w:pPr>
        <w:ind w:right="4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video and image processing SoCs may not materialize as expected, and our business and operating results could suffer.</w:t>
      </w:r>
    </w:p>
    <w:p>
      <w:pPr>
        <w:spacing w:after="0" w:line="184" w:lineRule="exact"/>
        <w:rPr>
          <w:sz w:val="20"/>
          <w:szCs w:val="20"/>
          <w:color w:val="auto"/>
        </w:rPr>
      </w:pPr>
    </w:p>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w:t>
      </w:r>
    </w:p>
    <w:p>
      <w:pPr>
        <w:spacing w:after="0" w:line="180"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9" w:name="page40"/>
    <w:bookmarkEnd w:id="39"/>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188" w:lineRule="exact"/>
        <w:rPr>
          <w:sz w:val="20"/>
          <w:szCs w:val="20"/>
          <w:color w:val="auto"/>
        </w:rPr>
      </w:pPr>
    </w:p>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2020, the customers representing 10% or more of our revenue were Wintech Microelectronics Co., Ltd., or Wintech, the Company’s distributor, and Chicony Electronics Co., Ltd., or Chicony, a direct ODM customer, which accounted for approximately 60% and 18% of total revenue, respectively. For the nine months ended October 31, 2020, the customers representing 10% or more of revenue were Wintech and Chicony which accounted for approximately 60% and 17%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3"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such as artificial intelligence functionality. In addition,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92"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are focused on selling our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9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video and 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offering a wide range of semiconductor products to smaller companies specializing in narrow markets. In the IP security camera market, our primary competitors include AMLogic Inc., Fullhan Microelectronics Co., Ltd., Geo Semiconductor, Inc., HiSilicon Technologies Co., Ltd., or HiSilicon, which is owned by Huawei Technologies Co., Ingenic Semiconductor Co., Ltd., Intel Corporation, or Intel, Movidius Ltd., a subsidiary of Intel, Novatek Microelectronics Corp., or Novatek, OmniVision Technologies, Inc., or OmniVision, Qualcomm Incorporated, or Qualcomm, Realtek Semiconductor Corp., SigmaStar Technology Corp., or SigmaStar, Socionext Inc., or Socionext, an entity created from the merger of the system LSI businesses of Fujitsu Ltd. and Panasonic Corporation, or Panasonic, and Texas Instruments Incorporated, or Texas Instruments, as well as vertically integrated divisions of IP Security camera device OEMs, including Axis Communications AB, Hanwha Techwin, and Sony Corporation, or Sony. In the automotive camera market, we currently compete against Allwinner Technology Co., Ltd., Alpha Imaging Technology Corp., Core Logic, Inc., Mobileye, an Intel company, Novatek, NXP Semiconductors N.V., OmniVision, Qualcomm, Renesas Electronics Corporation, SigmaStar, Sunplus Technology Co. Ltd., Texas Instruments and Xilinx Inc. In the wearable sports camera market, our primary competitors are vertically integrated divisions of camera device OEMs, including Sony, Panasonic, HiSilicon and Socionext. Our primary competitors in the drone camera market include HiSilicon, Intel, NVIDIA Corporation and Qualcomm.</w:t>
      </w:r>
    </w:p>
    <w:p>
      <w:pPr>
        <w:spacing w:after="0" w:line="190"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standards;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image video and image processing technologies and sales and marketing personnel.</w:t>
      </w:r>
    </w:p>
    <w:p>
      <w:pPr>
        <w:spacing w:after="0" w:line="162"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520" w:right="220" w:hanging="500"/>
        <w:spacing w:after="0" w:line="282"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video and image capture devices into which our solutions are incorporated;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520" w:right="220" w:hanging="500"/>
        <w:spacing w:after="0" w:line="282"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 w:name="page43"/>
    <w:bookmarkEnd w:id="42"/>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52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 For example, our revenue declined 23% in fiscal year 2019 compared to fiscal year 2018, and we incurred our first annual net losses since our initial public offering, or IPO, in 2012. For the twelve months ended January 31, 2020, our revenue increased by 0.4% compared to the same period in fiscal year 2019, and we incurred a net loss of $44.8 million. For the nine months ended October 31, 2020, our revenue declined 6.2% compared to the same period in fiscal year 2020, and we incurred a net loss of $47.3 million. We may experience similar fluctuations or declines in revenue or net losses in the future, which would harm our operating results.</w:t>
      </w:r>
    </w:p>
    <w:p>
      <w:pPr>
        <w:spacing w:after="0" w:line="184"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$129.7 million, $128.1 million and $115.5 million in fiscal years 2020, 2019 and 2018, respectively. For the nine months ended October 31, 2020, our research and development expense was $103.6 million. We expect to increase our research and development expenditures as compared to prior periods as part of our strategy of focusing on the development of innovative video and image processing solutions with increased functionality, such as computer vision capabilities,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10nm and 5nm, can cost significantly more than required to develop in larger process nodes, such as 28nm or 14nm.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0" w:lineRule="exact"/>
        <w:rPr>
          <w:sz w:val="20"/>
          <w:szCs w:val="20"/>
          <w:color w:val="auto"/>
        </w:rPr>
      </w:pPr>
    </w:p>
    <w:p>
      <w:pPr>
        <w:ind w:right="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video and image processing solutions in our target markets have historically decreased over time and will likely do so in the future, which could harm our revenue and gross margins.</w:t>
      </w:r>
    </w:p>
    <w:p>
      <w:pPr>
        <w:spacing w:after="0" w:line="5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continue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Recently, we have experienced competitive pricing pressures at the low ends of the automotive aftermarket camera market and China-based IP security camera market. We expect that we will have to address pricing pressures again in the future, particularly in markets experiencing consolidation, which could require us to reduce the prices of our SoC solutions and harm our operating results.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You should not rely on our revenue, gross margins or operating results for any prior quarterly or annual periods as an indication of our future operating performance. In years past, we experienced significant growth in a short period of time. Our revenue increased from $21.5 million in fiscal year 2008 to $316.4 million in fiscal year 2016. Recently, however, we have not sustained this growth rate. Our revenue decreased to $295.4 million in fiscal year 2018 and to $227.8 million in fiscal year 2019, resulting in the first annual net losses since our IPO in 2012. In fiscal year 2020, our revenue increased by 0.4% compared to fiscal year 2019. For the nine months ended October 31, 2020, our revenue declined 6.2% compared to the same period in fiscal year 2020, and we incurred a net loss of $47.3 million. We continue to invest in the development of new technology and solutions and expect our research and development expenditures to increase compared to prior periods. Accordingly, if we are unable to generate or maintain adequate revenue growth, our financial results could suffer and our stock price could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75" w:lineRule="exact"/>
        <w:rPr>
          <w:sz w:val="20"/>
          <w:szCs w:val="20"/>
          <w:color w:val="auto"/>
        </w:rPr>
      </w:pPr>
    </w:p>
    <w:p>
      <w:pPr>
        <w:ind w:left="1520" w:right="100" w:hanging="500"/>
        <w:spacing w:after="0" w:line="266"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6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finance and accounting personnel;</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 and</w:t>
      </w:r>
    </w:p>
    <w:p>
      <w:pPr>
        <w:spacing w:after="0" w:line="117" w:lineRule="exact"/>
        <w:rPr>
          <w:rFonts w:ascii="Times New Roman" w:cs="Times New Roman" w:eastAsia="Times New Roman" w:hAnsi="Times New Roman"/>
          <w:sz w:val="18"/>
          <w:szCs w:val="18"/>
          <w:color w:val="auto"/>
        </w:rPr>
      </w:pPr>
    </w:p>
    <w:p>
      <w:pPr>
        <w:ind w:left="1520" w:right="20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secure sufficient manufacturing capacity.</w:t>
      </w:r>
    </w:p>
    <w:p>
      <w:pPr>
        <w:spacing w:after="0" w:line="225"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180"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at reasonable terms.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ind w:right="5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Wintech Microelectronics Co., Ltd., or Wintech, which serves as our non-exclusive sales representative in Asia, other than Japan. Approximately 60%, 58% and 59% of our revenue was derived from sales through Wintech for the fiscal years ended January 31, 2020, 2019 and 2018, respectively, and approximately 60% of our revenue was derived from sales through Wintech for the nine months ended October 31, 2020. We anticipate that a significant portion of our revenue will continue to be derived from sales through Wintech in the foreseeable future. In November 2019, WPG Holdings Co., or WPG, a Taiwan distributor, announced an unsolicited bid to acquire up to 30% of Wintech. While the outcome of WPG’s bid is unknown at this time, an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collection of accounts receivable. For the nine months ended October 31, 2020, the customers representing 10% or more of revenue and accounts receivable were Wintech and Chicony, which accounted for approximately 60.4% and 17.4% of total revenue, respectively. As of October 31, 2020, accounts receivable with Wintech and Chicony were approximately $11.2 million and $9.9 million, respectively. We regularly review the collectability and creditworthiness of our distributors and customers to determine an appropriate allowance for doubtful receivables. Based on our review of our distributors and customers, we currently have only immaterial reserves for uncollectible accounts. If our uncollectible accounts, however, were to exceed our current or future allowance for doubtful receivables, our operating results would be negatively impacted.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121"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12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and the economic impact of the COVID-19 pandemic could lead to a similar downturn in future periods.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w:t>
      </w:r>
    </w:p>
    <w:p>
      <w:pPr>
        <w:spacing w:after="0" w:line="188" w:lineRule="exact"/>
        <w:rPr>
          <w:sz w:val="20"/>
          <w:szCs w:val="20"/>
          <w:color w:val="auto"/>
        </w:rPr>
      </w:pPr>
    </w:p>
    <w:p>
      <w:pPr>
        <w:jc w:val="both"/>
        <w:ind w:right="18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6" w:name="page47"/>
    <w:bookmarkEnd w:id="46"/>
    <w:p>
      <w:pPr>
        <w:ind w:right="8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90" w:lineRule="exact"/>
        <w:rPr>
          <w:sz w:val="20"/>
          <w:szCs w:val="20"/>
          <w:color w:val="auto"/>
        </w:rPr>
      </w:pPr>
    </w:p>
    <w:p>
      <w:pPr>
        <w:ind w:right="20" w:firstLine="51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28"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We also have products supplied by Global UniChip Corporation, or GUC, in Taiwan, from whom we purchase fully assembled and tested products. The wafers used by GUC in the assembly of our products are manufactured by TSMC in Taiwan. The assembly is done by GUC subcontracted assembly suppliers ASE, and Powertech Technology Inc, or PTI.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could limit the volume of products we can produce and negatively impact our business and operations.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8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5nm process node, and potentially to new foundries. We depend on Samsung and TSMC, as the principal foundries for our products, to transition to new processes successfully. We cannot assure you that Samsung or TSMC will be able to effectively manage such transitions or that we will be able to maintain our relationship with Samsung or TSMC or develop relationships with new foundries. Moreover, as we utilize more advanced process nodes beyond 10nm, we are increasingly dependent upon Samsung and TSMC, who are the only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90" w:lineRule="exact"/>
        <w:rPr>
          <w:sz w:val="20"/>
          <w:szCs w:val="20"/>
          <w:color w:val="auto"/>
        </w:rPr>
      </w:pPr>
    </w:p>
    <w:p>
      <w:pPr>
        <w:ind w:right="3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6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51" w:lineRule="exact"/>
        <w:rPr>
          <w:sz w:val="20"/>
          <w:szCs w:val="20"/>
          <w:color w:val="auto"/>
        </w:rPr>
      </w:pPr>
    </w:p>
    <w:p>
      <w:pPr>
        <w:ind w:right="40" w:firstLine="510"/>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8" w:name="page49"/>
    <w:bookmarkEnd w:id="48"/>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5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right="40" w:hanging="50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53" w:lineRule="exact"/>
        <w:rPr>
          <w:rFonts w:ascii="Times New Roman" w:cs="Times New Roman" w:eastAsia="Times New Roman" w:hAnsi="Times New Roman"/>
          <w:sz w:val="18"/>
          <w:szCs w:val="18"/>
          <w:color w:val="auto"/>
        </w:rPr>
      </w:pPr>
    </w:p>
    <w:p>
      <w:pPr>
        <w:ind w:left="1520" w:right="160" w:hanging="50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 Since the techniques used to obtain unauthorized access or to sabotage systems change frequently and are often not recognized until launched against a target, we may be unable to anticipate these techniques or to implement adequate preventative measures.</w:t>
      </w:r>
    </w:p>
    <w:p>
      <w:pPr>
        <w:spacing w:after="0" w:line="189" w:lineRule="exact"/>
        <w:rPr>
          <w:sz w:val="20"/>
          <w:szCs w:val="20"/>
          <w:color w:val="auto"/>
        </w:rPr>
      </w:pPr>
    </w:p>
    <w:p>
      <w:pPr>
        <w:ind w:right="5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and data protection.</w:t>
      </w:r>
    </w:p>
    <w:p>
      <w:pPr>
        <w:spacing w:after="0" w:line="121" w:lineRule="exact"/>
        <w:rPr>
          <w:sz w:val="20"/>
          <w:szCs w:val="20"/>
          <w:color w:val="auto"/>
        </w:rPr>
      </w:pPr>
    </w:p>
    <w:p>
      <w:pPr>
        <w:ind w:right="40" w:firstLine="510"/>
        <w:spacing w:after="0" w:line="271" w:lineRule="auto"/>
        <w:rPr>
          <w:sz w:val="20"/>
          <w:szCs w:val="20"/>
          <w:color w:val="auto"/>
        </w:rPr>
      </w:pPr>
      <w:r>
        <w:rPr>
          <w:rFonts w:ascii="Times New Roman" w:cs="Times New Roman" w:eastAsia="Times New Roman" w:hAnsi="Times New Roman"/>
          <w:sz w:val="17"/>
          <w:szCs w:val="17"/>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0" w:name="page51"/>
    <w:bookmarkEnd w:id="50"/>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88" w:lineRule="exact"/>
        <w:rPr>
          <w:sz w:val="20"/>
          <w:szCs w:val="20"/>
          <w:color w:val="auto"/>
        </w:rPr>
      </w:pPr>
    </w:p>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9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88"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ind w:right="5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5" w:lineRule="exact"/>
        <w:rPr>
          <w:sz w:val="20"/>
          <w:szCs w:val="20"/>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520" w:right="82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520" w:right="60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2" w:name="page53"/>
    <w:bookmarkEnd w:id="52"/>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520" w:right="14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520" w:right="88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225"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right="160" w:firstLine="51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third-party contractors and their suppliers are concentrated in South Korea, Taiwan and Japan, a region subject to earthquakes and other natural disasters. Any disruption to the operations of these contractors could cause significant delays in the production or shipment of our products.</w:t>
      </w:r>
    </w:p>
    <w:p>
      <w:pPr>
        <w:spacing w:after="0" w:line="136" w:lineRule="exact"/>
        <w:rPr>
          <w:sz w:val="20"/>
          <w:szCs w:val="20"/>
          <w:color w:val="auto"/>
        </w:rPr>
      </w:pPr>
    </w:p>
    <w:p>
      <w:pPr>
        <w:ind w:right="80" w:firstLine="510"/>
        <w:spacing w:after="0" w:line="271" w:lineRule="auto"/>
        <w:rPr>
          <w:sz w:val="20"/>
          <w:szCs w:val="20"/>
          <w:color w:val="auto"/>
        </w:rPr>
      </w:pPr>
      <w:r>
        <w:rPr>
          <w:rFonts w:ascii="Times New Roman" w:cs="Times New Roman" w:eastAsia="Times New Roman" w:hAnsi="Times New Roman"/>
          <w:sz w:val="17"/>
          <w:szCs w:val="17"/>
          <w:color w:val="auto"/>
        </w:rPr>
        <w:t>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regional health issues and pandemics, fires, earthquakes, floods,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88" w:lineRule="exact"/>
        <w:rPr>
          <w:sz w:val="20"/>
          <w:szCs w:val="20"/>
          <w:color w:val="auto"/>
        </w:rPr>
      </w:pPr>
    </w:p>
    <w:p>
      <w:pPr>
        <w:ind w:right="3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5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83"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79" w:lineRule="exact"/>
        <w:rPr>
          <w:sz w:val="20"/>
          <w:szCs w:val="20"/>
          <w:color w:val="auto"/>
        </w:rPr>
      </w:pPr>
    </w:p>
    <w:p>
      <w:pPr>
        <w:ind w:right="240" w:firstLine="510"/>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5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2"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9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2021 fiscal year or the foreseeable future. However, a separate determination must be made at the close of each taxable year as to whether we are a PFIC for that taxable year, and we cannot assure you that we will not be a PFIC for our 2021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51"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76"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185" w:lineRule="exact"/>
        <w:rPr>
          <w:sz w:val="20"/>
          <w:szCs w:val="20"/>
          <w:color w:val="auto"/>
        </w:rPr>
      </w:pPr>
    </w:p>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90%, 87% and 79% of our total revenue in fiscal years 2020, 2019 and 2018, respectively. For the nine months ended October 31, 2020, sales to customers in Asia accounted for approximately 87%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2"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Therefore, a portion of our payroll as well as certain other operating expenses are paid in currencies other than the U.S. dollar, such as the New Taiwan Dollar and the Chinese Yuan Renminbi.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and between the New Taiwan Dollar and the U.S. dollar, have been especially volatile in the recent past and these currency fluctuations may make it difficult for us to predict our operating results.</w:t>
      </w:r>
    </w:p>
    <w:p>
      <w:pPr>
        <w:spacing w:after="0" w:line="7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the future, we may acquire other businesses, products or technologies. Other than our acquisition of VisLab S.r.l., or VisLab, in June 2015, we have not made any acquisitions to date and do not have any agreements or commitments for any specific acquisition at this time. Our ability to make and successfully integrate acquisitions is unproven. Our acquisition of VisLab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5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which could materially and adversely affect our financial results.</w:t>
      </w:r>
    </w:p>
    <w:p>
      <w:pPr>
        <w:spacing w:after="0" w:line="5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As of October 31, 2020, we had approximately $214.4 million in debt security investments. These investments consisted primarily of money market funds, commercial paper, asset-backed securities, U.S. government securities and debt securities of corporations.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68" w:lineRule="exact"/>
        <w:rPr>
          <w:sz w:val="20"/>
          <w:szCs w:val="20"/>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caused by pandemics, and slow or negative growth of related markets;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520" w:right="320" w:hanging="500"/>
        <w:spacing w:after="0" w:line="282" w:lineRule="auto"/>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5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76"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shares being sold in the market.</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187"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58"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5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5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520" w:right="24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520" w:right="10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jc w:val="both"/>
        <w:ind w:left="1520" w:right="40" w:hanging="500"/>
        <w:spacing w:after="0" w:line="312" w:lineRule="auto"/>
        <w:tabs>
          <w:tab w:leader="none" w:pos="1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31" w:lineRule="exact"/>
        <w:rPr>
          <w:rFonts w:ascii="Times New Roman" w:cs="Times New Roman" w:eastAsia="Times New Roman" w:hAnsi="Times New Roman"/>
          <w:sz w:val="17"/>
          <w:szCs w:val="17"/>
          <w:color w:val="auto"/>
        </w:rPr>
      </w:pPr>
    </w:p>
    <w:p>
      <w:pPr>
        <w:ind w:left="1520" w:right="12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8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gridSpan w:val="7"/>
          </w:tcPr>
          <w:p>
            <w:pPr>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97"/>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10020" w:type="dxa"/>
            <w:vAlign w:val="bottom"/>
            <w:gridSpan w:val="7"/>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Certification of Principal Executive Officer Required Under Rule 13a-14(a) and 15d-14(a) of the Securities Exchange Act of 1934,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amended.</w:t>
              </w:r>
            </w:hyperlink>
          </w:p>
        </w:tc>
        <w:tc>
          <w:tcPr>
            <w:tcW w:w="8920" w:type="dxa"/>
            <w:vAlign w:val="bottom"/>
            <w:tcBorders>
              <w:top w:val="single" w:sz="8" w:color="0000EE"/>
            </w:tcBorders>
            <w:gridSpan w:val="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95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Certification of Principal Financial Officer Required Under Rule 13a-14(a) and 15d-14(a) of the Securities Exchange Act of 1934, as</w:t>
              </w:r>
            </w:hyperlink>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amended.</w:t>
              </w:r>
            </w:hyperlink>
          </w:p>
        </w:tc>
        <w:tc>
          <w:tcPr>
            <w:tcW w:w="9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20" w:type="dxa"/>
            <w:vAlign w:val="bottom"/>
          </w:tcPr>
          <w:p>
            <w:pPr>
              <w:spacing w:after="0"/>
              <w:rPr>
                <w:sz w:val="24"/>
                <w:szCs w:val="24"/>
                <w:color w:val="auto"/>
              </w:rPr>
            </w:pPr>
          </w:p>
        </w:tc>
        <w:tc>
          <w:tcPr>
            <w:tcW w:w="100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 Act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of 1934, as amended, and 18 U.S.C. §1350.</w:t>
              </w:r>
            </w:hyperlink>
          </w:p>
        </w:tc>
        <w:tc>
          <w:tcPr>
            <w:tcW w:w="6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80" w:hanging="1132"/>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October 31, 2020,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8312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96"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and Exchange Commission on September 12, 2012.</w:t>
      </w:r>
    </w:p>
    <w:p>
      <w:pPr>
        <w:spacing w:after="0" w:line="9" w:lineRule="exact"/>
        <w:rPr>
          <w:sz w:val="20"/>
          <w:szCs w:val="20"/>
          <w:color w:val="auto"/>
        </w:rPr>
      </w:pPr>
    </w:p>
    <w:p>
      <w:pPr>
        <w:ind w:left="500" w:hanging="492"/>
        <w:spacing w:after="0" w:line="253"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1" w:name="page62"/>
    <w:bookmarkEnd w:id="61"/>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spacing w:after="0"/>
        <w:tabs>
          <w:tab w:leader="none" w:pos="5760" w:val="left"/>
          <w:tab w:leader="none" w:pos="8000" w:val="left"/>
        </w:tabs>
        <w:rPr>
          <w:sz w:val="20"/>
          <w:szCs w:val="20"/>
          <w:color w:val="auto"/>
        </w:rPr>
      </w:pPr>
      <w:r>
        <w:rPr>
          <w:rFonts w:ascii="Times New Roman" w:cs="Times New Roman" w:eastAsia="Times New Roman" w:hAnsi="Times New Roman"/>
          <w:sz w:val="18"/>
          <w:szCs w:val="18"/>
          <w:color w:val="auto"/>
        </w:rPr>
        <w:t>Date: December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Feng-Ming Wang</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2" w:lineRule="exact"/>
        <w:rPr>
          <w:sz w:val="20"/>
          <w:szCs w:val="20"/>
          <w:color w:val="auto"/>
        </w:rPr>
      </w:pPr>
    </w:p>
    <w:p>
      <w:pPr>
        <w:spacing w:after="0"/>
        <w:tabs>
          <w:tab w:leader="none" w:pos="5760" w:val="left"/>
          <w:tab w:leader="none" w:pos="8020" w:val="left"/>
        </w:tabs>
        <w:rPr>
          <w:sz w:val="20"/>
          <w:szCs w:val="20"/>
          <w:color w:val="auto"/>
        </w:rPr>
      </w:pPr>
      <w:r>
        <w:rPr>
          <w:rFonts w:ascii="Times New Roman" w:cs="Times New Roman" w:eastAsia="Times New Roman" w:hAnsi="Times New Roman"/>
          <w:sz w:val="18"/>
          <w:szCs w:val="18"/>
          <w:color w:val="auto"/>
        </w:rPr>
        <w:t>Date: December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Kevin C. Eichler</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00"/>
          </w:cols>
          <w:pgMar w:left="320" w:top="117" w:right="7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23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 Eichler,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2837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Kevin C. Eichler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October 31, 2020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Kevin C. Eichler, certify, pursuant to 18 U.S.C. Section 1350, as adopted pursuant to Section 906 of the Sarbanes-Oxley Act of 2002, that the Quarterly Report of Ambarella, Inc. on Form 10-Q for the fiscal quarter ended October 31, 2020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C. Eichler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C. Eichler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Roman"/>
      <w:start w:val="2"/>
    </w:lvl>
  </w:abstractNum>
  <w:abstractNum w:abstractNumId="4">
    <w:nsid w:val="1BEFD79F"/>
    <w:multiLevelType w:val="hybridMultilevel"/>
    <w:lvl w:ilvl="0">
      <w:lvlJc w:val="left"/>
      <w:lvlText w:val="(%1)"/>
      <w:numFmt w:val="lowerRoman"/>
      <w:start w:val="8"/>
    </w:lvl>
  </w:abstractNum>
  <w:abstractNum w:abstractNumId="5">
    <w:nsid w:val="41A7C4C9"/>
    <w:multiLevelType w:val="hybridMultilevel"/>
    <w:lvl w:ilvl="0">
      <w:lvlJc w:val="left"/>
      <w:lvlText w:val="%1."/>
      <w:numFmt w:val="decimal"/>
      <w:start w:val="9"/>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84"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2020-12-09T12:05:15Z</dcterms:created>
  <dcterms:modified xsi:type="dcterms:W3CDTF">2020-12-09T12:05:15Z</dcterms:modified>
</cp:coreProperties>
</file>