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36782ds8.htm"/>
      <w:bookmarkStart w:id="1" w:name="ksd136782ds8"/>
      <w:bookmarkEnd w:id="0"/>
      <w:bookmarkEnd w:id="1"/>
      <w:r>
        <w:rPr>
          <w:rFonts w:ascii="Times New Roman" w:hAnsi="Times New Roman"/>
          <w:b/>
          <w:sz w:val="20"/>
        </w:rPr>
        <w:t xml:space="preserve">As filed with the Securities and Exchange Commission on August 3,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Ambarella,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Cayman Islands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98-0459628</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3001 Tasman Drive </w:t>
      </w:r>
    </w:p>
    <w:p>
      <w:pPr>
        <w:pStyle w:val="TextBody"/>
        <w:bidi w:val="0"/>
        <w:spacing w:before="0" w:after="0"/>
        <w:jc w:val="center"/>
        <w:rPr>
          <w:rFonts w:ascii="Times New Roman" w:hAnsi="Times New Roman"/>
          <w:b/>
          <w:sz w:val="20"/>
        </w:rPr>
      </w:pPr>
      <w:r>
        <w:rPr>
          <w:rFonts w:ascii="Times New Roman" w:hAnsi="Times New Roman"/>
          <w:b/>
          <w:sz w:val="20"/>
        </w:rPr>
        <w:t xml:space="preserve">Santa Clara, CA 95054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including zip code)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2021 Equity Incentive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Feng-Ming Wang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c/o Ambarella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3001 Tasman Drive </w:t>
      </w:r>
    </w:p>
    <w:p>
      <w:pPr>
        <w:pStyle w:val="TextBody"/>
        <w:bidi w:val="0"/>
        <w:spacing w:before="0" w:after="0"/>
        <w:jc w:val="center"/>
        <w:rPr>
          <w:rFonts w:ascii="Times New Roman" w:hAnsi="Times New Roman"/>
          <w:b/>
          <w:sz w:val="20"/>
        </w:rPr>
      </w:pPr>
      <w:r>
        <w:rPr>
          <w:rFonts w:ascii="Times New Roman" w:hAnsi="Times New Roman"/>
          <w:b/>
          <w:sz w:val="20"/>
        </w:rPr>
        <w:t xml:space="preserve">Santa Clara, CA 95054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address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(408) 734-8888 </w:t>
      </w:r>
    </w:p>
    <w:p>
      <w:pPr>
        <w:pStyle w:val="TextBody"/>
        <w:bidi w:val="0"/>
        <w:spacing w:before="0" w:after="0"/>
        <w:jc w:val="center"/>
        <w:rPr>
          <w:rFonts w:ascii="Times New Roman" w:hAnsi="Times New Roman"/>
          <w:b/>
          <w:sz w:val="16"/>
        </w:rPr>
      </w:pPr>
      <w:r>
        <w:rPr>
          <w:rFonts w:ascii="Times New Roman" w:hAnsi="Times New Roman"/>
          <w:b/>
          <w:sz w:val="16"/>
        </w:rPr>
        <w:t xml:space="preserve">(Telephone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120" w:after="0"/>
        <w:jc w:val="center"/>
        <w:rPr>
          <w:rFonts w:ascii="Times New Roman" w:hAnsi="Times New Roman"/>
          <w:b/>
          <w:sz w:val="20"/>
        </w:rPr>
      </w:pPr>
      <w:r>
        <w:rPr>
          <w:rFonts w:ascii="Times New Roman" w:hAnsi="Times New Roman"/>
          <w:b/>
          <w:sz w:val="20"/>
        </w:rPr>
        <w:t xml:space="preserve">Larry W. Sonsini </w:t>
      </w:r>
    </w:p>
    <w:p>
      <w:pPr>
        <w:pStyle w:val="TextBody"/>
        <w:bidi w:val="0"/>
        <w:spacing w:before="0" w:after="0"/>
        <w:jc w:val="center"/>
        <w:rPr>
          <w:rFonts w:ascii="Times New Roman" w:hAnsi="Times New Roman"/>
          <w:b/>
          <w:sz w:val="20"/>
        </w:rPr>
      </w:pPr>
      <w:r>
        <w:rPr>
          <w:rFonts w:ascii="Times New Roman" w:hAnsi="Times New Roman"/>
          <w:b/>
          <w:sz w:val="20"/>
        </w:rPr>
        <w:t xml:space="preserve">Jennifer D. Knapp </w:t>
      </w:r>
    </w:p>
    <w:p>
      <w:pPr>
        <w:pStyle w:val="TextBody"/>
        <w:bidi w:val="0"/>
        <w:spacing w:before="0" w:after="0"/>
        <w:jc w:val="center"/>
        <w:rPr>
          <w:rFonts w:ascii="Times New Roman" w:hAnsi="Times New Roman"/>
          <w:b/>
          <w:sz w:val="20"/>
        </w:rPr>
      </w:pPr>
      <w:r>
        <w:rPr>
          <w:rFonts w:ascii="Times New Roman" w:hAnsi="Times New Roman"/>
          <w:b/>
          <w:sz w:val="20"/>
        </w:rPr>
        <w:t xml:space="preserve">Wilson Sonsini Goodrich &amp; Rosati, P.C. </w:t>
      </w:r>
    </w:p>
    <w:p>
      <w:pPr>
        <w:pStyle w:val="TextBody"/>
        <w:bidi w:val="0"/>
        <w:spacing w:before="0" w:after="0"/>
        <w:jc w:val="center"/>
        <w:rPr>
          <w:rFonts w:ascii="Times New Roman" w:hAnsi="Times New Roman"/>
          <w:b/>
          <w:sz w:val="20"/>
        </w:rPr>
      </w:pPr>
      <w:r>
        <w:rPr>
          <w:rFonts w:ascii="Times New Roman" w:hAnsi="Times New Roman"/>
          <w:b/>
          <w:sz w:val="20"/>
        </w:rPr>
        <w:t xml:space="preserve">650 Page Mill Road </w:t>
      </w:r>
    </w:p>
    <w:p>
      <w:pPr>
        <w:pStyle w:val="TextBody"/>
        <w:bidi w:val="0"/>
        <w:spacing w:before="0" w:after="0"/>
        <w:jc w:val="center"/>
        <w:rPr>
          <w:rFonts w:ascii="Times New Roman" w:hAnsi="Times New Roman"/>
          <w:b/>
          <w:sz w:val="20"/>
        </w:rPr>
      </w:pPr>
      <w:r>
        <w:rPr>
          <w:rFonts w:ascii="Times New Roman" w:hAnsi="Times New Roman"/>
          <w:b/>
          <w:sz w:val="20"/>
        </w:rPr>
        <w:t xml:space="preserve">Palo Alto, California 94304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b/>
          <w:sz w:val="20"/>
        </w:rPr>
        <w:t>650) 493-9300</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4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REQUIRED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specified in Item 1 and Item 2 of Part I of Form S-8 is omitted from this Registration Statement on Form S-8 (the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REQUIRED IN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3. Incorporation of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Ambarella, Inc. (the “Registrant”) hereby incorporates by reference into this Registration Statement the following documents previously filed with the Securities and Exchange Commission (the “Commission”): </w:t>
      </w:r>
    </w:p>
    <w:p>
      <w:pPr>
        <w:pStyle w:val="TextBody"/>
        <w:bidi w:val="0"/>
        <w:spacing w:before="120" w:after="0"/>
        <w:jc w:val="left"/>
        <w:rPr/>
      </w:pPr>
      <w:r>
        <w:rPr>
          <w:rFonts w:ascii="Times New Roman" w:hAnsi="Times New Roman"/>
          <w:sz w:val="20"/>
        </w:rPr>
        <w:t xml:space="preserve">(1) The Registrant’s Annual Report on </w:t>
      </w:r>
      <w:hyperlink r:id="rId2">
        <w:r>
          <w:rPr>
            <w:rStyle w:val="InternetLink"/>
            <w:rFonts w:ascii="Times New Roman" w:hAnsi="Times New Roman"/>
            <w:sz w:val="20"/>
          </w:rPr>
          <w:t>Form 10-K</w:t>
        </w:r>
      </w:hyperlink>
      <w:r>
        <w:rPr>
          <w:rFonts w:ascii="Times New Roman" w:hAnsi="Times New Roman"/>
          <w:sz w:val="20"/>
        </w:rPr>
        <w:t xml:space="preserve"> for the fiscal year ended January 31, 2026, filed with the Commission on March 23, 2026 pursuant to Section 13(a) of the Securities Exchange Act of 1934, as amended (the “Exchange Act”); </w:t>
      </w:r>
    </w:p>
    <w:p>
      <w:pPr>
        <w:pStyle w:val="TextBody"/>
        <w:bidi w:val="0"/>
        <w:spacing w:before="240" w:after="0"/>
        <w:jc w:val="left"/>
        <w:rPr/>
      </w:pPr>
      <w:r>
        <w:rPr>
          <w:rFonts w:ascii="Times New Roman" w:hAnsi="Times New Roman"/>
          <w:sz w:val="20"/>
        </w:rPr>
        <w:t xml:space="preserve">(2) The Registrant’s Current Reports on Form 8-K filed with the Commission on </w:t>
      </w:r>
      <w:hyperlink r:id="rId3">
        <w:r>
          <w:rPr>
            <w:rStyle w:val="InternetLink"/>
            <w:rFonts w:ascii="Times New Roman" w:hAnsi="Times New Roman"/>
            <w:sz w:val="20"/>
          </w:rPr>
          <w:t>February  26, 2026</w:t>
        </w:r>
      </w:hyperlink>
      <w:r>
        <w:rPr>
          <w:rFonts w:ascii="Times New Roman" w:hAnsi="Times New Roman"/>
          <w:sz w:val="20"/>
        </w:rPr>
        <w:t xml:space="preserve">, </w:t>
      </w:r>
      <w:hyperlink r:id="rId4">
        <w:r>
          <w:rPr>
            <w:rStyle w:val="InternetLink"/>
            <w:rFonts w:ascii="Times New Roman" w:hAnsi="Times New Roman"/>
            <w:sz w:val="20"/>
          </w:rPr>
          <w:t>February  27, 2026</w:t>
        </w:r>
      </w:hyperlink>
      <w:r>
        <w:rPr>
          <w:rFonts w:ascii="Times New Roman" w:hAnsi="Times New Roman"/>
          <w:sz w:val="20"/>
        </w:rPr>
        <w:t xml:space="preserve"> and </w:t>
      </w:r>
      <w:hyperlink r:id="rId5">
        <w:r>
          <w:rPr>
            <w:rStyle w:val="InternetLink"/>
            <w:rFonts w:ascii="Times New Roman" w:hAnsi="Times New Roman"/>
            <w:sz w:val="20"/>
          </w:rPr>
          <w:t>July 1, 2026</w:t>
        </w:r>
      </w:hyperlink>
      <w:r>
        <w:rPr>
          <w:rFonts w:ascii="Times New Roman" w:hAnsi="Times New Roman"/>
          <w:sz w:val="20"/>
        </w:rPr>
        <w:t xml:space="preserve"> pursuant to Section 13 or 15(d)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(3) All other reports filed with the Commission pursuant to Sections 13(a) or 15(d) of the Exchange Act since the end of the fiscal year covered by the Registrant’s Annual Report referred to in (1) above (other than the portions of these documents not deemed to be filed); and </w:t>
      </w:r>
    </w:p>
    <w:p>
      <w:pPr>
        <w:pStyle w:val="TextBody"/>
        <w:bidi w:val="0"/>
        <w:spacing w:before="240" w:after="0"/>
        <w:jc w:val="left"/>
        <w:rPr/>
      </w:pPr>
      <w:r>
        <w:rPr>
          <w:rFonts w:ascii="Times New Roman" w:hAnsi="Times New Roman"/>
          <w:sz w:val="20"/>
        </w:rPr>
        <w:t xml:space="preserve">(4) The description of the Registrant’s ordinary shares contained in the Company’s Registration Statement on </w:t>
      </w:r>
      <w:hyperlink r:id="rId6">
        <w:r>
          <w:rPr>
            <w:rStyle w:val="InternetLink"/>
            <w:rFonts w:ascii="Times New Roman" w:hAnsi="Times New Roman"/>
            <w:sz w:val="20"/>
          </w:rPr>
          <w:t>Form 8-A</w:t>
        </w:r>
      </w:hyperlink>
      <w:r>
        <w:rPr>
          <w:rFonts w:ascii="Times New Roman" w:hAnsi="Times New Roman"/>
          <w:sz w:val="20"/>
        </w:rPr>
        <w:t xml:space="preserve"> (File No. 001-35667) filed with the Commission on September 26, 2012, pursuant to Section 12(b) of the Exchange Act, including any amendment or report filed for the purpose of updating such description. </w:t>
      </w:r>
    </w:p>
    <w:p>
      <w:pPr>
        <w:pStyle w:val="TextBody"/>
        <w:bidi w:val="0"/>
        <w:spacing w:before="240" w:after="0"/>
        <w:jc w:val="left"/>
        <w:rPr>
          <w:rFonts w:ascii="Times New Roman" w:hAnsi="Times New Roman"/>
          <w:sz w:val="20"/>
        </w:rPr>
      </w:pPr>
      <w:r>
        <w:rPr>
          <w:rFonts w:ascii="Times New Roman" w:hAnsi="Times New Roman"/>
          <w:sz w:val="20"/>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4. Description of Securities.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5. Interests of Named Experts and Counsel.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6.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Cayman Islands law does not limit the extent to which a company’s memorandum and articles of association may provide for indemnification of directors and officers, except to the extent any such provision may be held by the Cayman Islands courts to be contrary to public policy, such as to provide indemnification against civil fraud or the consequences of committing a crime. The Registrant’s amended and restated memorandum and articles of association provide for indemnification of directors and officers against any liability, action, proceeding, claim, demand, costs, damages or expenses, including legal expenses, which they may incur as a result of any act or failure to act in carrying out their functions other than such liability (if any) that they may incur by reason of their own actual fraud or willful default.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Registrant has entered into separate indemnification agreements with its directors and officers, pursuant to which the Registrant has agreed to indemnify its directors and officers against certain liabilities and expenses incurred by such persons in connection with claims by reason of their being such a director or officer.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has purchased and intends to maintain insurance on behalf of each person who is or was a director or officer of the Registrant against any loss arising from any claim asserted against him or her and incurred by him or her in any such capacity, subject to certain exclusions. </w:t>
      </w:r>
    </w:p>
    <w:p>
      <w:pPr>
        <w:pStyle w:val="TextBody"/>
        <w:bidi w:val="0"/>
        <w:spacing w:before="360" w:after="0"/>
        <w:jc w:val="left"/>
        <w:rPr>
          <w:rFonts w:ascii="Times New Roman" w:hAnsi="Times New Roman"/>
          <w:b/>
          <w:sz w:val="20"/>
        </w:rPr>
      </w:pPr>
      <w:r>
        <w:rPr>
          <w:rFonts w:ascii="Times New Roman" w:hAnsi="Times New Roman"/>
          <w:b/>
          <w:sz w:val="20"/>
        </w:rPr>
        <w:t xml:space="preserve">Item 7. Exemption from Registration Claimed.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8"/>
        <w:gridCol w:w="256"/>
        <w:gridCol w:w="4059"/>
        <w:gridCol w:w="142"/>
        <w:gridCol w:w="591"/>
        <w:gridCol w:w="142"/>
        <w:gridCol w:w="926"/>
        <w:gridCol w:w="142"/>
        <w:gridCol w:w="834"/>
        <w:gridCol w:w="141"/>
        <w:gridCol w:w="2064"/>
      </w:tblGrid>
      <w:tr>
        <w:trPr/>
        <w:tc>
          <w:tcPr>
            <w:tcW w:w="908"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r>
      <w:tr>
        <w:trPr/>
        <w:tc>
          <w:tcPr>
            <w:tcW w:w="908" w:type="dxa"/>
            <w:vMerge w:val="restart"/>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256" w:type="dxa"/>
            <w:vMerge w:val="restart"/>
            <w:tcBorders/>
            <w:vAlign w:val="bottom"/>
          </w:tcPr>
          <w:p>
            <w:pPr>
              <w:pStyle w:val="TableContents"/>
              <w:bidi w:val="0"/>
              <w:spacing w:before="0" w:after="283"/>
              <w:jc w:val="left"/>
              <w:rPr/>
            </w:pPr>
            <w:r>
              <w:rPr/>
              <w:t>  </w:t>
            </w:r>
          </w:p>
        </w:tc>
        <w:tc>
          <w:tcPr>
            <w:tcW w:w="4059" w:type="dxa"/>
            <w:vMerge w:val="restart"/>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Exhibit Description</w:t>
            </w:r>
          </w:p>
        </w:tc>
        <w:tc>
          <w:tcPr>
            <w:tcW w:w="142" w:type="dxa"/>
            <w:tcBorders/>
            <w:vAlign w:val="bottom"/>
          </w:tcPr>
          <w:p>
            <w:pPr>
              <w:pStyle w:val="TableContents"/>
              <w:bidi w:val="0"/>
              <w:spacing w:before="0" w:after="283"/>
              <w:jc w:val="left"/>
              <w:rPr/>
            </w:pPr>
            <w:r>
              <w:rPr/>
              <w:t>  </w:t>
            </w:r>
          </w:p>
        </w:tc>
        <w:tc>
          <w:tcPr>
            <w:tcW w:w="4840" w:type="dxa"/>
            <w:gridSpan w:val="7"/>
            <w:tcBorders>
              <w:bottom w:val="single" w:sz="8" w:space="0" w:color="000000"/>
            </w:tcBorders>
            <w:tcMar>
              <w:bottom w:w="28" w:type="dxa"/>
            </w:tcMar>
            <w:vAlign w:val="bottom"/>
          </w:tcPr>
          <w:p>
            <w:pPr>
              <w:pStyle w:val="TableContents"/>
              <w:bidi w:val="0"/>
              <w:spacing w:before="0" w:after="283"/>
              <w:jc w:val="center"/>
              <w:rPr>
                <w:b/>
              </w:rPr>
            </w:pPr>
            <w:r>
              <w:rPr>
                <w:b/>
              </w:rPr>
              <w:t>Incorporated by Reference</w:t>
            </w:r>
          </w:p>
        </w:tc>
      </w:tr>
      <w:tr>
        <w:trPr/>
        <w:tc>
          <w:tcPr>
            <w:tcW w:w="908" w:type="dxa"/>
            <w:vMerge w:val="continue"/>
            <w:tcBorders>
              <w:bottom w:val="single" w:sz="8" w:space="0" w:color="000000"/>
            </w:tcBorders>
            <w:tcMar>
              <w:bottom w:w="28" w:type="dxa"/>
            </w:tcMar>
            <w:vAlign w:val="bottom"/>
          </w:tcPr>
          <w:p>
            <w:pPr>
              <w:pStyle w:val="Normal"/>
              <w:bidi w:val="0"/>
              <w:jc w:val="left"/>
              <w:rPr/>
            </w:pPr>
            <w:r>
              <w:rPr/>
            </w:r>
          </w:p>
        </w:tc>
        <w:tc>
          <w:tcPr>
            <w:tcW w:w="256" w:type="dxa"/>
            <w:vMerge w:val="continue"/>
            <w:tcBorders/>
            <w:vAlign w:val="bottom"/>
          </w:tcPr>
          <w:p>
            <w:pPr>
              <w:pStyle w:val="Normal"/>
              <w:bidi w:val="0"/>
              <w:jc w:val="left"/>
              <w:rPr/>
            </w:pPr>
            <w:r>
              <w:rPr/>
            </w:r>
          </w:p>
        </w:tc>
        <w:tc>
          <w:tcPr>
            <w:tcW w:w="4059" w:type="dxa"/>
            <w:vMerge w:val="continue"/>
            <w:tcBorders>
              <w:bottom w:val="single" w:sz="8" w:space="0" w:color="000000"/>
            </w:tcBorders>
            <w:tcMar>
              <w:bottom w:w="28" w:type="dxa"/>
            </w:tcMar>
            <w:vAlign w:val="bottom"/>
          </w:tcPr>
          <w:p>
            <w:pPr>
              <w:pStyle w:val="Normal"/>
              <w:bidi w:val="0"/>
              <w:jc w:val="left"/>
              <w:rPr/>
            </w:pPr>
            <w:r>
              <w:rPr/>
            </w:r>
          </w:p>
        </w:tc>
        <w:tc>
          <w:tcPr>
            <w:tcW w:w="142" w:type="dxa"/>
            <w:tcBorders/>
            <w:vAlign w:val="bottom"/>
          </w:tcPr>
          <w:p>
            <w:pPr>
              <w:pStyle w:val="TableContents"/>
              <w:bidi w:val="0"/>
              <w:spacing w:before="0" w:after="283"/>
              <w:jc w:val="left"/>
              <w:rPr/>
            </w:pPr>
            <w:r>
              <w:rPr/>
              <w:t>  </w:t>
            </w:r>
          </w:p>
        </w:tc>
        <w:tc>
          <w:tcPr>
            <w:tcW w:w="591" w:type="dxa"/>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142" w:type="dxa"/>
            <w:tcBorders/>
            <w:vAlign w:val="bottom"/>
          </w:tcPr>
          <w:p>
            <w:pPr>
              <w:pStyle w:val="TableContents"/>
              <w:bidi w:val="0"/>
              <w:spacing w:before="0" w:after="283"/>
              <w:jc w:val="left"/>
              <w:rPr/>
            </w:pPr>
            <w:r>
              <w:rPr/>
              <w:t>  </w:t>
            </w:r>
          </w:p>
        </w:tc>
        <w:tc>
          <w:tcPr>
            <w:tcW w:w="926" w:type="dxa"/>
            <w:tcBorders>
              <w:bottom w:val="single" w:sz="8" w:space="0" w:color="000000"/>
            </w:tcBorders>
            <w:tcMar>
              <w:bottom w:w="28" w:type="dxa"/>
            </w:tcMar>
            <w:vAlign w:val="bottom"/>
          </w:tcPr>
          <w:p>
            <w:pPr>
              <w:pStyle w:val="TableContents"/>
              <w:bidi w:val="0"/>
              <w:spacing w:before="0" w:after="283"/>
              <w:jc w:val="center"/>
              <w:rPr>
                <w:b/>
              </w:rPr>
            </w:pPr>
            <w:r>
              <w:rPr>
                <w:b/>
              </w:rPr>
              <w:t>File No.</w:t>
            </w:r>
          </w:p>
        </w:tc>
        <w:tc>
          <w:tcPr>
            <w:tcW w:w="142" w:type="dxa"/>
            <w:tcBorders/>
            <w:vAlign w:val="bottom"/>
          </w:tcPr>
          <w:p>
            <w:pPr>
              <w:pStyle w:val="TableContents"/>
              <w:bidi w:val="0"/>
              <w:spacing w:before="0" w:after="283"/>
              <w:jc w:val="left"/>
              <w:rPr/>
            </w:pPr>
            <w:r>
              <w:rPr/>
              <w:t>  </w:t>
            </w:r>
          </w:p>
        </w:tc>
        <w:tc>
          <w:tcPr>
            <w:tcW w:w="834" w:type="dxa"/>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141" w:type="dxa"/>
            <w:tcBorders/>
            <w:vAlign w:val="bottom"/>
          </w:tcPr>
          <w:p>
            <w:pPr>
              <w:pStyle w:val="TableContents"/>
              <w:bidi w:val="0"/>
              <w:spacing w:before="0" w:after="283"/>
              <w:jc w:val="left"/>
              <w:rPr/>
            </w:pPr>
            <w:r>
              <w:rPr/>
              <w:t>  </w:t>
            </w:r>
          </w:p>
        </w:tc>
        <w:tc>
          <w:tcPr>
            <w:tcW w:w="2064" w:type="dxa"/>
            <w:tcBorders>
              <w:bottom w:val="single" w:sz="8" w:space="0" w:color="000000"/>
            </w:tcBorders>
            <w:tcMar>
              <w:bottom w:w="28" w:type="dxa"/>
            </w:tcMar>
            <w:vAlign w:val="bottom"/>
          </w:tcPr>
          <w:p>
            <w:pPr>
              <w:pStyle w:val="TableContents"/>
              <w:bidi w:val="0"/>
              <w:spacing w:before="0" w:after="283"/>
              <w:jc w:val="center"/>
              <w:rPr>
                <w:b/>
              </w:rPr>
            </w:pPr>
            <w:r>
              <w:rPr>
                <w:b/>
              </w:rPr>
              <w:t>Filing Date</w:t>
            </w:r>
          </w:p>
        </w:tc>
      </w:tr>
      <w:tr>
        <w:trPr>
          <w:trHeight w:val="120" w:hRule="atLeast"/>
        </w:trPr>
        <w:tc>
          <w:tcPr>
            <w:tcW w:w="908" w:type="dxa"/>
            <w:tcBorders/>
            <w:vAlign w:val="center"/>
          </w:tcPr>
          <w:p>
            <w:pPr>
              <w:pStyle w:val="TableContents"/>
              <w:bidi w:val="0"/>
              <w:spacing w:before="0" w:after="283"/>
              <w:jc w:val="left"/>
              <w:rPr>
                <w:sz w:val="4"/>
                <w:szCs w:val="4"/>
              </w:rPr>
            </w:pPr>
            <w:r>
              <w:rPr>
                <w:sz w:val="4"/>
                <w:szCs w:val="4"/>
              </w:rPr>
            </w:r>
          </w:p>
        </w:tc>
        <w:tc>
          <w:tcPr>
            <w:tcW w:w="4315" w:type="dxa"/>
            <w:gridSpan w:val="2"/>
            <w:tcBorders/>
            <w:vAlign w:val="center"/>
          </w:tcPr>
          <w:p>
            <w:pPr>
              <w:pStyle w:val="TableContents"/>
              <w:bidi w:val="0"/>
              <w:spacing w:before="0" w:after="283"/>
              <w:jc w:val="left"/>
              <w:rPr>
                <w:sz w:val="4"/>
                <w:szCs w:val="4"/>
              </w:rPr>
            </w:pPr>
            <w:r>
              <w:rPr>
                <w:sz w:val="4"/>
                <w:szCs w:val="4"/>
              </w:rPr>
            </w:r>
          </w:p>
        </w:tc>
        <w:tc>
          <w:tcPr>
            <w:tcW w:w="733" w:type="dxa"/>
            <w:gridSpan w:val="2"/>
            <w:tcBorders/>
            <w:vAlign w:val="center"/>
          </w:tcPr>
          <w:p>
            <w:pPr>
              <w:pStyle w:val="TableContents"/>
              <w:bidi w:val="0"/>
              <w:spacing w:before="0" w:after="283"/>
              <w:jc w:val="left"/>
              <w:rPr>
                <w:sz w:val="4"/>
                <w:szCs w:val="4"/>
              </w:rPr>
            </w:pPr>
            <w:r>
              <w:rPr>
                <w:sz w:val="4"/>
                <w:szCs w:val="4"/>
              </w:rPr>
            </w:r>
          </w:p>
        </w:tc>
        <w:tc>
          <w:tcPr>
            <w:tcW w:w="1068" w:type="dxa"/>
            <w:gridSpan w:val="2"/>
            <w:tcBorders/>
            <w:vAlign w:val="center"/>
          </w:tcPr>
          <w:p>
            <w:pPr>
              <w:pStyle w:val="TableContents"/>
              <w:bidi w:val="0"/>
              <w:spacing w:before="0" w:after="283"/>
              <w:jc w:val="left"/>
              <w:rPr>
                <w:sz w:val="4"/>
                <w:szCs w:val="4"/>
              </w:rPr>
            </w:pPr>
            <w:r>
              <w:rPr>
                <w:sz w:val="4"/>
                <w:szCs w:val="4"/>
              </w:rPr>
            </w:r>
          </w:p>
        </w:tc>
        <w:tc>
          <w:tcPr>
            <w:tcW w:w="976" w:type="dxa"/>
            <w:gridSpan w:val="2"/>
            <w:tcBorders/>
            <w:vAlign w:val="center"/>
          </w:tcPr>
          <w:p>
            <w:pPr>
              <w:pStyle w:val="TableContents"/>
              <w:bidi w:val="0"/>
              <w:spacing w:before="0" w:after="283"/>
              <w:jc w:val="left"/>
              <w:rPr>
                <w:sz w:val="4"/>
                <w:szCs w:val="4"/>
              </w:rPr>
            </w:pPr>
            <w:r>
              <w:rPr>
                <w:sz w:val="4"/>
                <w:szCs w:val="4"/>
              </w:rPr>
            </w:r>
          </w:p>
        </w:tc>
        <w:tc>
          <w:tcPr>
            <w:tcW w:w="2205" w:type="dxa"/>
            <w:gridSpan w:val="2"/>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pPr>
            <w:r>
              <w:rPr/>
              <w:t>  </w:t>
            </w:r>
            <w:r>
              <w:rPr/>
              <w:t>4.1</w:t>
            </w:r>
          </w:p>
        </w:tc>
        <w:tc>
          <w:tcPr>
            <w:tcW w:w="256" w:type="dxa"/>
            <w:tcBorders/>
            <w:vAlign w:val="bottom"/>
          </w:tcPr>
          <w:p>
            <w:pPr>
              <w:pStyle w:val="TableContents"/>
              <w:bidi w:val="0"/>
              <w:spacing w:before="0" w:after="283"/>
              <w:jc w:val="left"/>
              <w:rPr/>
            </w:pPr>
            <w:r>
              <w:rPr/>
              <w:t>  </w:t>
            </w:r>
          </w:p>
        </w:tc>
        <w:tc>
          <w:tcPr>
            <w:tcW w:w="4059" w:type="dxa"/>
            <w:tcBorders/>
          </w:tcPr>
          <w:p>
            <w:pPr>
              <w:pStyle w:val="TableContents"/>
              <w:bidi w:val="0"/>
              <w:spacing w:before="0" w:after="283"/>
              <w:jc w:val="left"/>
              <w:rPr/>
            </w:pPr>
            <w:hyperlink r:id="rId7">
              <w:r>
                <w:rPr>
                  <w:rStyle w:val="InternetLink"/>
                </w:rPr>
                <w:t>Ambarella, Inc. Amended and Restated 2021 Equity Incentive Plan.</w:t>
              </w:r>
            </w:hyperlink>
          </w:p>
        </w:tc>
        <w:tc>
          <w:tcPr>
            <w:tcW w:w="142"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center"/>
              <w:rPr/>
            </w:pPr>
            <w:r>
              <w:rPr/>
              <w:t>8-K</w:t>
            </w:r>
          </w:p>
        </w:tc>
        <w:tc>
          <w:tcPr>
            <w:tcW w:w="142"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center"/>
              <w:rPr/>
            </w:pPr>
            <w:r>
              <w:rPr/>
              <w:t>001-35667</w:t>
            </w:r>
          </w:p>
        </w:tc>
        <w:tc>
          <w:tcPr>
            <w:tcW w:w="142"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center"/>
              <w:rPr/>
            </w:pPr>
            <w:r>
              <w:rPr/>
              <w:t>10.1</w:t>
            </w:r>
          </w:p>
        </w:tc>
        <w:tc>
          <w:tcPr>
            <w:tcW w:w="141" w:type="dxa"/>
            <w:tcBorders/>
            <w:vAlign w:val="bottom"/>
          </w:tcPr>
          <w:p>
            <w:pPr>
              <w:pStyle w:val="TableContents"/>
              <w:bidi w:val="0"/>
              <w:spacing w:before="0" w:after="283"/>
              <w:jc w:val="left"/>
              <w:rPr/>
            </w:pPr>
            <w:r>
              <w:rPr/>
              <w:t>  </w:t>
            </w:r>
          </w:p>
        </w:tc>
        <w:tc>
          <w:tcPr>
            <w:tcW w:w="2064" w:type="dxa"/>
            <w:tcBorders/>
            <w:vAlign w:val="bottom"/>
          </w:tcPr>
          <w:p>
            <w:pPr>
              <w:pStyle w:val="TableContents"/>
              <w:bidi w:val="0"/>
              <w:spacing w:before="0" w:after="283"/>
              <w:jc w:val="center"/>
              <w:rPr/>
            </w:pPr>
            <w:r>
              <w:rPr/>
              <w:t>July 1, 2026</w:t>
            </w:r>
          </w:p>
        </w:tc>
      </w:tr>
      <w:tr>
        <w:trPr>
          <w:trHeight w:val="120" w:hRule="atLeast"/>
        </w:trPr>
        <w:tc>
          <w:tcPr>
            <w:tcW w:w="908" w:type="dxa"/>
            <w:tcBorders/>
            <w:vAlign w:val="center"/>
          </w:tcPr>
          <w:p>
            <w:pPr>
              <w:pStyle w:val="TableContents"/>
              <w:bidi w:val="0"/>
              <w:spacing w:before="0" w:after="283"/>
              <w:jc w:val="left"/>
              <w:rPr>
                <w:sz w:val="4"/>
                <w:szCs w:val="4"/>
              </w:rPr>
            </w:pPr>
            <w:r>
              <w:rPr>
                <w:sz w:val="4"/>
                <w:szCs w:val="4"/>
              </w:rPr>
            </w:r>
          </w:p>
        </w:tc>
        <w:tc>
          <w:tcPr>
            <w:tcW w:w="4315" w:type="dxa"/>
            <w:gridSpan w:val="2"/>
            <w:tcBorders/>
            <w:vAlign w:val="center"/>
          </w:tcPr>
          <w:p>
            <w:pPr>
              <w:pStyle w:val="TableContents"/>
              <w:bidi w:val="0"/>
              <w:spacing w:before="0" w:after="283"/>
              <w:jc w:val="left"/>
              <w:rPr>
                <w:sz w:val="4"/>
                <w:szCs w:val="4"/>
              </w:rPr>
            </w:pPr>
            <w:r>
              <w:rPr>
                <w:sz w:val="4"/>
                <w:szCs w:val="4"/>
              </w:rPr>
            </w:r>
          </w:p>
        </w:tc>
        <w:tc>
          <w:tcPr>
            <w:tcW w:w="733" w:type="dxa"/>
            <w:gridSpan w:val="2"/>
            <w:tcBorders/>
            <w:vAlign w:val="center"/>
          </w:tcPr>
          <w:p>
            <w:pPr>
              <w:pStyle w:val="TableContents"/>
              <w:bidi w:val="0"/>
              <w:spacing w:before="0" w:after="283"/>
              <w:jc w:val="left"/>
              <w:rPr>
                <w:sz w:val="4"/>
                <w:szCs w:val="4"/>
              </w:rPr>
            </w:pPr>
            <w:r>
              <w:rPr>
                <w:sz w:val="4"/>
                <w:szCs w:val="4"/>
              </w:rPr>
            </w:r>
          </w:p>
        </w:tc>
        <w:tc>
          <w:tcPr>
            <w:tcW w:w="1068" w:type="dxa"/>
            <w:gridSpan w:val="2"/>
            <w:tcBorders/>
            <w:vAlign w:val="center"/>
          </w:tcPr>
          <w:p>
            <w:pPr>
              <w:pStyle w:val="TableContents"/>
              <w:bidi w:val="0"/>
              <w:spacing w:before="0" w:after="283"/>
              <w:jc w:val="left"/>
              <w:rPr>
                <w:sz w:val="4"/>
                <w:szCs w:val="4"/>
              </w:rPr>
            </w:pPr>
            <w:r>
              <w:rPr>
                <w:sz w:val="4"/>
                <w:szCs w:val="4"/>
              </w:rPr>
            </w:r>
          </w:p>
        </w:tc>
        <w:tc>
          <w:tcPr>
            <w:tcW w:w="976" w:type="dxa"/>
            <w:gridSpan w:val="2"/>
            <w:tcBorders/>
            <w:vAlign w:val="center"/>
          </w:tcPr>
          <w:p>
            <w:pPr>
              <w:pStyle w:val="TableContents"/>
              <w:bidi w:val="0"/>
              <w:spacing w:before="0" w:after="283"/>
              <w:jc w:val="left"/>
              <w:rPr>
                <w:sz w:val="4"/>
                <w:szCs w:val="4"/>
              </w:rPr>
            </w:pPr>
            <w:r>
              <w:rPr>
                <w:sz w:val="4"/>
                <w:szCs w:val="4"/>
              </w:rPr>
            </w:r>
          </w:p>
        </w:tc>
        <w:tc>
          <w:tcPr>
            <w:tcW w:w="2205" w:type="dxa"/>
            <w:gridSpan w:val="2"/>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pPr>
            <w:r>
              <w:rPr/>
              <w:t>  </w:t>
            </w:r>
            <w:r>
              <w:rPr/>
              <w:t>4.2</w:t>
            </w:r>
          </w:p>
        </w:tc>
        <w:tc>
          <w:tcPr>
            <w:tcW w:w="256" w:type="dxa"/>
            <w:tcBorders/>
            <w:vAlign w:val="bottom"/>
          </w:tcPr>
          <w:p>
            <w:pPr>
              <w:pStyle w:val="TableContents"/>
              <w:bidi w:val="0"/>
              <w:spacing w:before="0" w:after="283"/>
              <w:jc w:val="left"/>
              <w:rPr/>
            </w:pPr>
            <w:r>
              <w:rPr/>
              <w:t>  </w:t>
            </w:r>
          </w:p>
        </w:tc>
        <w:tc>
          <w:tcPr>
            <w:tcW w:w="4059" w:type="dxa"/>
            <w:tcBorders/>
          </w:tcPr>
          <w:p>
            <w:pPr>
              <w:pStyle w:val="TableContents"/>
              <w:bidi w:val="0"/>
              <w:spacing w:before="0" w:after="283"/>
              <w:jc w:val="left"/>
              <w:rPr/>
            </w:pPr>
            <w:hyperlink r:id="rId8">
              <w:r>
                <w:rPr>
                  <w:rStyle w:val="InternetLink"/>
                </w:rPr>
                <w:t>Form of Stock Option Agreement under 2021 Equity Incentive Plan.</w:t>
              </w:r>
            </w:hyperlink>
          </w:p>
        </w:tc>
        <w:tc>
          <w:tcPr>
            <w:tcW w:w="142"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center"/>
              <w:rPr/>
            </w:pPr>
            <w:r>
              <w:rPr/>
              <w:t>S-8</w:t>
            </w:r>
          </w:p>
        </w:tc>
        <w:tc>
          <w:tcPr>
            <w:tcW w:w="142"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center"/>
              <w:rPr/>
            </w:pPr>
            <w:r>
              <w:rPr/>
              <w:t>333-261244</w:t>
            </w:r>
          </w:p>
        </w:tc>
        <w:tc>
          <w:tcPr>
            <w:tcW w:w="142"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center"/>
              <w:rPr/>
            </w:pPr>
            <w:r>
              <w:rPr/>
              <w:t>4.1.2</w:t>
            </w:r>
          </w:p>
        </w:tc>
        <w:tc>
          <w:tcPr>
            <w:tcW w:w="141" w:type="dxa"/>
            <w:tcBorders/>
            <w:vAlign w:val="bottom"/>
          </w:tcPr>
          <w:p>
            <w:pPr>
              <w:pStyle w:val="TableContents"/>
              <w:bidi w:val="0"/>
              <w:spacing w:before="0" w:after="283"/>
              <w:jc w:val="left"/>
              <w:rPr/>
            </w:pPr>
            <w:r>
              <w:rPr/>
              <w:t>  </w:t>
            </w:r>
          </w:p>
        </w:tc>
        <w:tc>
          <w:tcPr>
            <w:tcW w:w="2064" w:type="dxa"/>
            <w:tcBorders/>
            <w:vAlign w:val="bottom"/>
          </w:tcPr>
          <w:p>
            <w:pPr>
              <w:pStyle w:val="TableContents"/>
              <w:bidi w:val="0"/>
              <w:spacing w:before="0" w:after="283"/>
              <w:jc w:val="center"/>
              <w:rPr/>
            </w:pPr>
            <w:r>
              <w:rPr/>
              <w:t>November 19, 2021</w:t>
            </w:r>
          </w:p>
        </w:tc>
      </w:tr>
      <w:tr>
        <w:trPr>
          <w:trHeight w:val="120" w:hRule="atLeast"/>
        </w:trPr>
        <w:tc>
          <w:tcPr>
            <w:tcW w:w="908" w:type="dxa"/>
            <w:tcBorders/>
            <w:vAlign w:val="center"/>
          </w:tcPr>
          <w:p>
            <w:pPr>
              <w:pStyle w:val="TableContents"/>
              <w:bidi w:val="0"/>
              <w:spacing w:before="0" w:after="283"/>
              <w:jc w:val="left"/>
              <w:rPr>
                <w:sz w:val="4"/>
                <w:szCs w:val="4"/>
              </w:rPr>
            </w:pPr>
            <w:r>
              <w:rPr>
                <w:sz w:val="4"/>
                <w:szCs w:val="4"/>
              </w:rPr>
            </w:r>
          </w:p>
        </w:tc>
        <w:tc>
          <w:tcPr>
            <w:tcW w:w="4315" w:type="dxa"/>
            <w:gridSpan w:val="2"/>
            <w:tcBorders/>
            <w:vAlign w:val="center"/>
          </w:tcPr>
          <w:p>
            <w:pPr>
              <w:pStyle w:val="TableContents"/>
              <w:bidi w:val="0"/>
              <w:spacing w:before="0" w:after="283"/>
              <w:jc w:val="left"/>
              <w:rPr>
                <w:sz w:val="4"/>
                <w:szCs w:val="4"/>
              </w:rPr>
            </w:pPr>
            <w:r>
              <w:rPr>
                <w:sz w:val="4"/>
                <w:szCs w:val="4"/>
              </w:rPr>
            </w:r>
          </w:p>
        </w:tc>
        <w:tc>
          <w:tcPr>
            <w:tcW w:w="733" w:type="dxa"/>
            <w:gridSpan w:val="2"/>
            <w:tcBorders/>
            <w:vAlign w:val="center"/>
          </w:tcPr>
          <w:p>
            <w:pPr>
              <w:pStyle w:val="TableContents"/>
              <w:bidi w:val="0"/>
              <w:spacing w:before="0" w:after="283"/>
              <w:jc w:val="left"/>
              <w:rPr>
                <w:sz w:val="4"/>
                <w:szCs w:val="4"/>
              </w:rPr>
            </w:pPr>
            <w:r>
              <w:rPr>
                <w:sz w:val="4"/>
                <w:szCs w:val="4"/>
              </w:rPr>
            </w:r>
          </w:p>
        </w:tc>
        <w:tc>
          <w:tcPr>
            <w:tcW w:w="1068" w:type="dxa"/>
            <w:gridSpan w:val="2"/>
            <w:tcBorders/>
            <w:vAlign w:val="center"/>
          </w:tcPr>
          <w:p>
            <w:pPr>
              <w:pStyle w:val="TableContents"/>
              <w:bidi w:val="0"/>
              <w:spacing w:before="0" w:after="283"/>
              <w:jc w:val="left"/>
              <w:rPr>
                <w:sz w:val="4"/>
                <w:szCs w:val="4"/>
              </w:rPr>
            </w:pPr>
            <w:r>
              <w:rPr>
                <w:sz w:val="4"/>
                <w:szCs w:val="4"/>
              </w:rPr>
            </w:r>
          </w:p>
        </w:tc>
        <w:tc>
          <w:tcPr>
            <w:tcW w:w="976" w:type="dxa"/>
            <w:gridSpan w:val="2"/>
            <w:tcBorders/>
            <w:vAlign w:val="center"/>
          </w:tcPr>
          <w:p>
            <w:pPr>
              <w:pStyle w:val="TableContents"/>
              <w:bidi w:val="0"/>
              <w:spacing w:before="0" w:after="283"/>
              <w:jc w:val="left"/>
              <w:rPr>
                <w:sz w:val="4"/>
                <w:szCs w:val="4"/>
              </w:rPr>
            </w:pPr>
            <w:r>
              <w:rPr>
                <w:sz w:val="4"/>
                <w:szCs w:val="4"/>
              </w:rPr>
            </w:r>
          </w:p>
        </w:tc>
        <w:tc>
          <w:tcPr>
            <w:tcW w:w="2205" w:type="dxa"/>
            <w:gridSpan w:val="2"/>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pPr>
            <w:r>
              <w:rPr/>
              <w:t>  </w:t>
            </w:r>
            <w:r>
              <w:rPr/>
              <w:t>4.3</w:t>
            </w:r>
          </w:p>
        </w:tc>
        <w:tc>
          <w:tcPr>
            <w:tcW w:w="256" w:type="dxa"/>
            <w:tcBorders/>
            <w:vAlign w:val="bottom"/>
          </w:tcPr>
          <w:p>
            <w:pPr>
              <w:pStyle w:val="TableContents"/>
              <w:bidi w:val="0"/>
              <w:spacing w:before="0" w:after="283"/>
              <w:jc w:val="left"/>
              <w:rPr/>
            </w:pPr>
            <w:r>
              <w:rPr/>
              <w:t>  </w:t>
            </w:r>
          </w:p>
        </w:tc>
        <w:tc>
          <w:tcPr>
            <w:tcW w:w="4059" w:type="dxa"/>
            <w:tcBorders/>
          </w:tcPr>
          <w:p>
            <w:pPr>
              <w:pStyle w:val="TableContents"/>
              <w:bidi w:val="0"/>
              <w:spacing w:before="0" w:after="283"/>
              <w:jc w:val="left"/>
              <w:rPr/>
            </w:pPr>
            <w:hyperlink r:id="rId9">
              <w:r>
                <w:rPr>
                  <w:rStyle w:val="InternetLink"/>
                </w:rPr>
                <w:t>Form of Restricted Stock Unit Agreement under 2021 Equity Incentive Plan.</w:t>
              </w:r>
            </w:hyperlink>
          </w:p>
        </w:tc>
        <w:tc>
          <w:tcPr>
            <w:tcW w:w="142"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center"/>
              <w:rPr/>
            </w:pPr>
            <w:r>
              <w:rPr/>
              <w:t>S-8</w:t>
            </w:r>
          </w:p>
        </w:tc>
        <w:tc>
          <w:tcPr>
            <w:tcW w:w="142"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center"/>
              <w:rPr/>
            </w:pPr>
            <w:r>
              <w:rPr/>
              <w:t>333-261244</w:t>
            </w:r>
          </w:p>
        </w:tc>
        <w:tc>
          <w:tcPr>
            <w:tcW w:w="142"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center"/>
              <w:rPr/>
            </w:pPr>
            <w:r>
              <w:rPr/>
              <w:t>4.1.3</w:t>
            </w:r>
          </w:p>
        </w:tc>
        <w:tc>
          <w:tcPr>
            <w:tcW w:w="141" w:type="dxa"/>
            <w:tcBorders/>
            <w:vAlign w:val="bottom"/>
          </w:tcPr>
          <w:p>
            <w:pPr>
              <w:pStyle w:val="TableContents"/>
              <w:bidi w:val="0"/>
              <w:spacing w:before="0" w:after="283"/>
              <w:jc w:val="left"/>
              <w:rPr/>
            </w:pPr>
            <w:r>
              <w:rPr/>
              <w:t>  </w:t>
            </w:r>
          </w:p>
        </w:tc>
        <w:tc>
          <w:tcPr>
            <w:tcW w:w="2064" w:type="dxa"/>
            <w:tcBorders/>
            <w:vAlign w:val="bottom"/>
          </w:tcPr>
          <w:p>
            <w:pPr>
              <w:pStyle w:val="TableContents"/>
              <w:bidi w:val="0"/>
              <w:spacing w:before="0" w:after="283"/>
              <w:jc w:val="center"/>
              <w:rPr/>
            </w:pPr>
            <w:r>
              <w:rPr/>
              <w:t>November 19, 2021</w:t>
            </w:r>
          </w:p>
        </w:tc>
      </w:tr>
      <w:tr>
        <w:trPr>
          <w:trHeight w:val="120" w:hRule="atLeast"/>
        </w:trPr>
        <w:tc>
          <w:tcPr>
            <w:tcW w:w="908" w:type="dxa"/>
            <w:tcBorders/>
            <w:vAlign w:val="center"/>
          </w:tcPr>
          <w:p>
            <w:pPr>
              <w:pStyle w:val="TableContents"/>
              <w:bidi w:val="0"/>
              <w:spacing w:before="0" w:after="283"/>
              <w:jc w:val="left"/>
              <w:rPr>
                <w:sz w:val="4"/>
                <w:szCs w:val="4"/>
              </w:rPr>
            </w:pPr>
            <w:r>
              <w:rPr>
                <w:sz w:val="4"/>
                <w:szCs w:val="4"/>
              </w:rPr>
            </w:r>
          </w:p>
        </w:tc>
        <w:tc>
          <w:tcPr>
            <w:tcW w:w="4315" w:type="dxa"/>
            <w:gridSpan w:val="2"/>
            <w:tcBorders/>
            <w:vAlign w:val="center"/>
          </w:tcPr>
          <w:p>
            <w:pPr>
              <w:pStyle w:val="TableContents"/>
              <w:bidi w:val="0"/>
              <w:spacing w:before="0" w:after="283"/>
              <w:jc w:val="left"/>
              <w:rPr>
                <w:sz w:val="4"/>
                <w:szCs w:val="4"/>
              </w:rPr>
            </w:pPr>
            <w:r>
              <w:rPr>
                <w:sz w:val="4"/>
                <w:szCs w:val="4"/>
              </w:rPr>
            </w:r>
          </w:p>
        </w:tc>
        <w:tc>
          <w:tcPr>
            <w:tcW w:w="733" w:type="dxa"/>
            <w:gridSpan w:val="2"/>
            <w:tcBorders/>
            <w:vAlign w:val="center"/>
          </w:tcPr>
          <w:p>
            <w:pPr>
              <w:pStyle w:val="TableContents"/>
              <w:bidi w:val="0"/>
              <w:spacing w:before="0" w:after="283"/>
              <w:jc w:val="left"/>
              <w:rPr>
                <w:sz w:val="4"/>
                <w:szCs w:val="4"/>
              </w:rPr>
            </w:pPr>
            <w:r>
              <w:rPr>
                <w:sz w:val="4"/>
                <w:szCs w:val="4"/>
              </w:rPr>
            </w:r>
          </w:p>
        </w:tc>
        <w:tc>
          <w:tcPr>
            <w:tcW w:w="1068" w:type="dxa"/>
            <w:gridSpan w:val="2"/>
            <w:tcBorders/>
            <w:vAlign w:val="center"/>
          </w:tcPr>
          <w:p>
            <w:pPr>
              <w:pStyle w:val="TableContents"/>
              <w:bidi w:val="0"/>
              <w:spacing w:before="0" w:after="283"/>
              <w:jc w:val="left"/>
              <w:rPr>
                <w:sz w:val="4"/>
                <w:szCs w:val="4"/>
              </w:rPr>
            </w:pPr>
            <w:r>
              <w:rPr>
                <w:sz w:val="4"/>
                <w:szCs w:val="4"/>
              </w:rPr>
            </w:r>
          </w:p>
        </w:tc>
        <w:tc>
          <w:tcPr>
            <w:tcW w:w="976" w:type="dxa"/>
            <w:gridSpan w:val="2"/>
            <w:tcBorders/>
            <w:vAlign w:val="center"/>
          </w:tcPr>
          <w:p>
            <w:pPr>
              <w:pStyle w:val="TableContents"/>
              <w:bidi w:val="0"/>
              <w:spacing w:before="0" w:after="283"/>
              <w:jc w:val="left"/>
              <w:rPr>
                <w:sz w:val="4"/>
                <w:szCs w:val="4"/>
              </w:rPr>
            </w:pPr>
            <w:r>
              <w:rPr>
                <w:sz w:val="4"/>
                <w:szCs w:val="4"/>
              </w:rPr>
            </w:r>
          </w:p>
        </w:tc>
        <w:tc>
          <w:tcPr>
            <w:tcW w:w="2205" w:type="dxa"/>
            <w:gridSpan w:val="2"/>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pPr>
            <w:r>
              <w:rPr/>
              <w:t>  </w:t>
            </w:r>
            <w:r>
              <w:rPr/>
              <w:t>5.1</w:t>
            </w:r>
          </w:p>
        </w:tc>
        <w:tc>
          <w:tcPr>
            <w:tcW w:w="256" w:type="dxa"/>
            <w:tcBorders/>
            <w:vAlign w:val="bottom"/>
          </w:tcPr>
          <w:p>
            <w:pPr>
              <w:pStyle w:val="TableContents"/>
              <w:bidi w:val="0"/>
              <w:spacing w:before="0" w:after="283"/>
              <w:jc w:val="left"/>
              <w:rPr/>
            </w:pPr>
            <w:r>
              <w:rPr/>
              <w:t>  </w:t>
            </w:r>
          </w:p>
        </w:tc>
        <w:tc>
          <w:tcPr>
            <w:tcW w:w="4059" w:type="dxa"/>
            <w:tcBorders/>
          </w:tcPr>
          <w:p>
            <w:pPr>
              <w:pStyle w:val="TableContents"/>
              <w:bidi w:val="0"/>
              <w:spacing w:before="0" w:after="283"/>
              <w:jc w:val="left"/>
              <w:rPr/>
            </w:pPr>
            <w:hyperlink w:anchor="d136782dex51.htm">
              <w:r>
                <w:rPr>
                  <w:rStyle w:val="InternetLink"/>
                </w:rPr>
                <w:t xml:space="preserve">Opinion of Maples and Calder (Cayman) LLP, Cayman Islands counsel to the Registrant, regarding the validity of the Ordinary Shares being registered. </w:t>
              </w:r>
            </w:hyperlink>
          </w:p>
        </w:tc>
        <w:tc>
          <w:tcPr>
            <w:tcW w:w="142"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206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72"/>
        <w:gridCol w:w="316"/>
        <w:gridCol w:w="9317"/>
      </w:tblGrid>
      <w:tr>
        <w:trPr/>
        <w:tc>
          <w:tcPr>
            <w:tcW w:w="572"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9317" w:type="dxa"/>
            <w:tcBorders/>
            <w:vAlign w:val="center"/>
          </w:tcPr>
          <w:p>
            <w:pPr>
              <w:pStyle w:val="TableContents"/>
              <w:bidi w:val="0"/>
              <w:spacing w:before="0" w:after="283"/>
              <w:jc w:val="left"/>
              <w:rPr>
                <w:sz w:val="4"/>
                <w:szCs w:val="4"/>
              </w:rPr>
            </w:pPr>
            <w:r>
              <w:rPr>
                <w:sz w:val="4"/>
                <w:szCs w:val="4"/>
              </w:rPr>
            </w:r>
          </w:p>
        </w:tc>
      </w:tr>
      <w:tr>
        <w:trPr/>
        <w:tc>
          <w:tcPr>
            <w:tcW w:w="572" w:type="dxa"/>
            <w:tcBorders/>
          </w:tcPr>
          <w:p>
            <w:pPr>
              <w:pStyle w:val="TableContents"/>
              <w:bidi w:val="0"/>
              <w:spacing w:before="0" w:after="283"/>
              <w:jc w:val="left"/>
              <w:rPr/>
            </w:pPr>
            <w:r>
              <w:rPr/>
              <w:t> </w:t>
            </w:r>
            <w:r>
              <w:rPr/>
              <w:t>23.1</w:t>
            </w:r>
          </w:p>
        </w:tc>
        <w:tc>
          <w:tcPr>
            <w:tcW w:w="316" w:type="dxa"/>
            <w:tcBorders/>
            <w:vAlign w:val="bottom"/>
          </w:tcPr>
          <w:p>
            <w:pPr>
              <w:pStyle w:val="TableContents"/>
              <w:bidi w:val="0"/>
              <w:spacing w:before="0" w:after="283"/>
              <w:jc w:val="left"/>
              <w:rPr/>
            </w:pPr>
            <w:r>
              <w:rPr/>
              <w:t>  </w:t>
            </w:r>
          </w:p>
        </w:tc>
        <w:tc>
          <w:tcPr>
            <w:tcW w:w="9317" w:type="dxa"/>
            <w:tcBorders/>
          </w:tcPr>
          <w:p>
            <w:pPr>
              <w:pStyle w:val="TableContents"/>
              <w:bidi w:val="0"/>
              <w:spacing w:before="0" w:after="283"/>
              <w:jc w:val="left"/>
              <w:rPr/>
            </w:pPr>
            <w:hyperlink w:anchor="d136782dex231.htm">
              <w:r>
                <w:rPr>
                  <w:rStyle w:val="InternetLink"/>
                </w:rPr>
                <w:t xml:space="preserve">Consent of PricewaterhouseCoopers LLP, Independent Registered Public Accounting Firm. </w:t>
              </w:r>
            </w:hyperlink>
          </w:p>
        </w:tc>
      </w:tr>
      <w:tr>
        <w:trPr>
          <w:trHeight w:val="120" w:hRule="atLeast"/>
        </w:trPr>
        <w:tc>
          <w:tcPr>
            <w:tcW w:w="572" w:type="dxa"/>
            <w:tcBorders/>
            <w:vAlign w:val="center"/>
          </w:tcPr>
          <w:p>
            <w:pPr>
              <w:pStyle w:val="TableContents"/>
              <w:bidi w:val="0"/>
              <w:spacing w:before="0" w:after="283"/>
              <w:jc w:val="left"/>
              <w:rPr>
                <w:sz w:val="4"/>
                <w:szCs w:val="4"/>
              </w:rPr>
            </w:pPr>
            <w:r>
              <w:rPr>
                <w:sz w:val="4"/>
                <w:szCs w:val="4"/>
              </w:rPr>
            </w:r>
          </w:p>
        </w:tc>
        <w:tc>
          <w:tcPr>
            <w:tcW w:w="9633" w:type="dxa"/>
            <w:gridSpan w:val="2"/>
            <w:tcBorders/>
            <w:vAlign w:val="center"/>
          </w:tcPr>
          <w:p>
            <w:pPr>
              <w:pStyle w:val="TableContents"/>
              <w:bidi w:val="0"/>
              <w:spacing w:before="0" w:after="283"/>
              <w:jc w:val="left"/>
              <w:rPr>
                <w:sz w:val="4"/>
                <w:szCs w:val="4"/>
              </w:rPr>
            </w:pPr>
            <w:r>
              <w:rPr>
                <w:sz w:val="4"/>
                <w:szCs w:val="4"/>
              </w:rPr>
            </w:r>
          </w:p>
        </w:tc>
      </w:tr>
      <w:tr>
        <w:trPr/>
        <w:tc>
          <w:tcPr>
            <w:tcW w:w="572" w:type="dxa"/>
            <w:tcBorders/>
          </w:tcPr>
          <w:p>
            <w:pPr>
              <w:pStyle w:val="TableContents"/>
              <w:bidi w:val="0"/>
              <w:spacing w:before="0" w:after="283"/>
              <w:jc w:val="left"/>
              <w:rPr/>
            </w:pPr>
            <w:r>
              <w:rPr/>
              <w:t> </w:t>
            </w:r>
            <w:r>
              <w:rPr/>
              <w:t>23.2</w:t>
            </w:r>
          </w:p>
        </w:tc>
        <w:tc>
          <w:tcPr>
            <w:tcW w:w="316" w:type="dxa"/>
            <w:tcBorders/>
            <w:vAlign w:val="bottom"/>
          </w:tcPr>
          <w:p>
            <w:pPr>
              <w:pStyle w:val="TableContents"/>
              <w:bidi w:val="0"/>
              <w:spacing w:before="0" w:after="283"/>
              <w:jc w:val="left"/>
              <w:rPr/>
            </w:pPr>
            <w:r>
              <w:rPr/>
              <w:t>  </w:t>
            </w:r>
          </w:p>
        </w:tc>
        <w:tc>
          <w:tcPr>
            <w:tcW w:w="9317" w:type="dxa"/>
            <w:tcBorders/>
          </w:tcPr>
          <w:p>
            <w:pPr>
              <w:pStyle w:val="TableContents"/>
              <w:bidi w:val="0"/>
              <w:spacing w:before="0" w:after="283"/>
              <w:jc w:val="left"/>
              <w:rPr/>
            </w:pPr>
            <w:hyperlink w:anchor="d136782dex51.htm">
              <w:r>
                <w:rPr>
                  <w:rStyle w:val="InternetLink"/>
                </w:rPr>
                <w:t xml:space="preserve">Consent of Maples and Calder (contained in Exhibit 5.1 hereto). </w:t>
              </w:r>
            </w:hyperlink>
          </w:p>
        </w:tc>
      </w:tr>
      <w:tr>
        <w:trPr>
          <w:trHeight w:val="120" w:hRule="atLeast"/>
        </w:trPr>
        <w:tc>
          <w:tcPr>
            <w:tcW w:w="572" w:type="dxa"/>
            <w:tcBorders/>
            <w:vAlign w:val="center"/>
          </w:tcPr>
          <w:p>
            <w:pPr>
              <w:pStyle w:val="TableContents"/>
              <w:bidi w:val="0"/>
              <w:spacing w:before="0" w:after="283"/>
              <w:jc w:val="left"/>
              <w:rPr>
                <w:sz w:val="4"/>
                <w:szCs w:val="4"/>
              </w:rPr>
            </w:pPr>
            <w:r>
              <w:rPr>
                <w:sz w:val="4"/>
                <w:szCs w:val="4"/>
              </w:rPr>
            </w:r>
          </w:p>
        </w:tc>
        <w:tc>
          <w:tcPr>
            <w:tcW w:w="9633" w:type="dxa"/>
            <w:gridSpan w:val="2"/>
            <w:tcBorders/>
            <w:vAlign w:val="center"/>
          </w:tcPr>
          <w:p>
            <w:pPr>
              <w:pStyle w:val="TableContents"/>
              <w:bidi w:val="0"/>
              <w:spacing w:before="0" w:after="283"/>
              <w:jc w:val="left"/>
              <w:rPr>
                <w:sz w:val="4"/>
                <w:szCs w:val="4"/>
              </w:rPr>
            </w:pPr>
            <w:r>
              <w:rPr>
                <w:sz w:val="4"/>
                <w:szCs w:val="4"/>
              </w:rPr>
            </w:r>
          </w:p>
        </w:tc>
      </w:tr>
      <w:tr>
        <w:trPr/>
        <w:tc>
          <w:tcPr>
            <w:tcW w:w="572" w:type="dxa"/>
            <w:tcBorders/>
          </w:tcPr>
          <w:p>
            <w:pPr>
              <w:pStyle w:val="TableContents"/>
              <w:bidi w:val="0"/>
              <w:spacing w:before="0" w:after="283"/>
              <w:jc w:val="left"/>
              <w:rPr/>
            </w:pPr>
            <w:r>
              <w:rPr/>
              <w:t> </w:t>
            </w:r>
            <w:r>
              <w:rPr/>
              <w:t>24.1</w:t>
            </w:r>
          </w:p>
        </w:tc>
        <w:tc>
          <w:tcPr>
            <w:tcW w:w="316" w:type="dxa"/>
            <w:tcBorders/>
            <w:vAlign w:val="bottom"/>
          </w:tcPr>
          <w:p>
            <w:pPr>
              <w:pStyle w:val="TableContents"/>
              <w:bidi w:val="0"/>
              <w:spacing w:before="0" w:after="283"/>
              <w:jc w:val="left"/>
              <w:rPr/>
            </w:pPr>
            <w:r>
              <w:rPr/>
              <w:t>  </w:t>
            </w:r>
          </w:p>
        </w:tc>
        <w:tc>
          <w:tcPr>
            <w:tcW w:w="9317" w:type="dxa"/>
            <w:tcBorders/>
          </w:tcPr>
          <w:p>
            <w:pPr>
              <w:pStyle w:val="TableContents"/>
              <w:bidi w:val="0"/>
              <w:spacing w:before="0" w:after="283"/>
              <w:jc w:val="left"/>
              <w:rPr/>
            </w:pPr>
            <w:hyperlink w:anchor="sig">
              <w:r>
                <w:rPr>
                  <w:rStyle w:val="InternetLink"/>
                </w:rPr>
                <w:t xml:space="preserve">Power of Attorney (contained on signature page hereto). </w:t>
              </w:r>
            </w:hyperlink>
          </w:p>
        </w:tc>
      </w:tr>
      <w:tr>
        <w:trPr>
          <w:trHeight w:val="120" w:hRule="atLeast"/>
        </w:trPr>
        <w:tc>
          <w:tcPr>
            <w:tcW w:w="572" w:type="dxa"/>
            <w:tcBorders/>
            <w:vAlign w:val="center"/>
          </w:tcPr>
          <w:p>
            <w:pPr>
              <w:pStyle w:val="TableContents"/>
              <w:bidi w:val="0"/>
              <w:spacing w:before="0" w:after="283"/>
              <w:jc w:val="left"/>
              <w:rPr>
                <w:sz w:val="4"/>
                <w:szCs w:val="4"/>
              </w:rPr>
            </w:pPr>
            <w:r>
              <w:rPr>
                <w:sz w:val="4"/>
                <w:szCs w:val="4"/>
              </w:rPr>
            </w:r>
          </w:p>
        </w:tc>
        <w:tc>
          <w:tcPr>
            <w:tcW w:w="9633" w:type="dxa"/>
            <w:gridSpan w:val="2"/>
            <w:tcBorders/>
            <w:vAlign w:val="center"/>
          </w:tcPr>
          <w:p>
            <w:pPr>
              <w:pStyle w:val="TableContents"/>
              <w:bidi w:val="0"/>
              <w:spacing w:before="0" w:after="283"/>
              <w:jc w:val="left"/>
              <w:rPr>
                <w:sz w:val="4"/>
                <w:szCs w:val="4"/>
              </w:rPr>
            </w:pPr>
            <w:r>
              <w:rPr>
                <w:sz w:val="4"/>
                <w:szCs w:val="4"/>
              </w:rPr>
            </w:r>
          </w:p>
        </w:tc>
      </w:tr>
      <w:tr>
        <w:trPr/>
        <w:tc>
          <w:tcPr>
            <w:tcW w:w="572" w:type="dxa"/>
            <w:tcBorders/>
          </w:tcPr>
          <w:p>
            <w:pPr>
              <w:pStyle w:val="TableContents"/>
              <w:bidi w:val="0"/>
              <w:spacing w:before="0" w:after="283"/>
              <w:jc w:val="left"/>
              <w:rPr/>
            </w:pPr>
            <w:r>
              <w:rPr/>
              <w:t>107.1</w:t>
            </w:r>
          </w:p>
        </w:tc>
        <w:tc>
          <w:tcPr>
            <w:tcW w:w="316" w:type="dxa"/>
            <w:tcBorders/>
            <w:vAlign w:val="bottom"/>
          </w:tcPr>
          <w:p>
            <w:pPr>
              <w:pStyle w:val="TableContents"/>
              <w:bidi w:val="0"/>
              <w:spacing w:before="0" w:after="283"/>
              <w:jc w:val="left"/>
              <w:rPr/>
            </w:pPr>
            <w:r>
              <w:rPr/>
              <w:t>  </w:t>
            </w:r>
          </w:p>
        </w:tc>
        <w:tc>
          <w:tcPr>
            <w:tcW w:w="9317" w:type="dxa"/>
            <w:tcBorders/>
          </w:tcPr>
          <w:p>
            <w:pPr>
              <w:pStyle w:val="TableContents"/>
              <w:bidi w:val="0"/>
              <w:spacing w:before="0" w:after="283"/>
              <w:jc w:val="left"/>
              <w:rPr/>
            </w:pPr>
            <w:hyperlink w:anchor="d136782dexfilingfees.htm">
              <w:r>
                <w:rPr>
                  <w:rStyle w:val="InternetLink"/>
                </w:rPr>
                <w:t xml:space="preserve">Filing Fee Table. </w:t>
              </w:r>
            </w:hyperlink>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9. Undertakings. </w:t>
      </w:r>
    </w:p>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of 1933;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Filing Fee Tables” or “Calculation of Registration Fee” table in the effective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12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and (A)(1)(ii)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Santa Clara, California, on the 3 day of August,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32"/>
        <w:gridCol w:w="60"/>
        <w:gridCol w:w="3690"/>
      </w:tblGrid>
      <w:tr>
        <w:trPr/>
        <w:tc>
          <w:tcPr>
            <w:tcW w:w="33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AMBARELLA, INC.</w:t>
            </w:r>
          </w:p>
        </w:tc>
      </w:tr>
      <w:tr>
        <w:trPr>
          <w:trHeight w:val="240" w:hRule="atLeast"/>
        </w:trPr>
        <w:tc>
          <w:tcPr>
            <w:tcW w:w="332" w:type="dxa"/>
            <w:tcBorders/>
            <w:vAlign w:val="center"/>
          </w:tcPr>
          <w:p>
            <w:pPr>
              <w:pStyle w:val="TableContents"/>
              <w:bidi w:val="0"/>
              <w:spacing w:before="0" w:after="283"/>
              <w:jc w:val="left"/>
              <w:rPr>
                <w:sz w:val="4"/>
                <w:szCs w:val="4"/>
              </w:rPr>
            </w:pPr>
            <w:r>
              <w:rPr>
                <w:sz w:val="4"/>
                <w:szCs w:val="4"/>
              </w:rPr>
            </w:r>
          </w:p>
        </w:tc>
        <w:tc>
          <w:tcPr>
            <w:tcW w:w="3750" w:type="dxa"/>
            <w:gridSpan w:val="2"/>
            <w:tcBorders/>
            <w:vAlign w:val="center"/>
          </w:tcPr>
          <w:p>
            <w:pPr>
              <w:pStyle w:val="TableContents"/>
              <w:bidi w:val="0"/>
              <w:spacing w:before="0" w:after="283"/>
              <w:jc w:val="left"/>
              <w:rPr>
                <w:sz w:val="4"/>
                <w:szCs w:val="4"/>
              </w:rPr>
            </w:pPr>
            <w:r>
              <w:rPr>
                <w:sz w:val="4"/>
                <w:szCs w:val="4"/>
              </w:rPr>
            </w:r>
          </w:p>
        </w:tc>
      </w:tr>
      <w:tr>
        <w:trPr/>
        <w:tc>
          <w:tcPr>
            <w:tcW w:w="33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9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Feng-Ming Wang</w:t>
            </w:r>
          </w:p>
        </w:tc>
      </w:tr>
      <w:tr>
        <w:trPr/>
        <w:tc>
          <w:tcPr>
            <w:tcW w:w="33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Feng-Ming Wang</w:t>
            </w:r>
          </w:p>
        </w:tc>
      </w:tr>
      <w:tr>
        <w:trPr/>
        <w:tc>
          <w:tcPr>
            <w:tcW w:w="33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Chairman of the Board of Directors,</w:t>
            </w:r>
          </w:p>
        </w:tc>
      </w:tr>
      <w:tr>
        <w:trPr/>
        <w:tc>
          <w:tcPr>
            <w:tcW w:w="33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President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hereby constitutes and appoints Feng-Ming Wang and John Young, jointly and severally, as his true and lawful attorneys-in-fact and agents with full power of substitution, for him in any and all capacities, to sign the Registration Statement on Form S-8 of Ambarella, Inc., and any or all amendments (including post-effective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for all intents and purposes as he might or could do in person, hereby ratifying and confirming all that said attorneys-in-fact and agents, or his or their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on Form S-8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08"/>
        <w:gridCol w:w="120"/>
        <w:gridCol w:w="3218"/>
        <w:gridCol w:w="120"/>
        <w:gridCol w:w="3239"/>
      </w:tblGrid>
      <w:tr>
        <w:trPr/>
        <w:tc>
          <w:tcPr>
            <w:tcW w:w="35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39" w:type="dxa"/>
            <w:tcBorders/>
            <w:vAlign w:val="center"/>
          </w:tcPr>
          <w:p>
            <w:pPr>
              <w:pStyle w:val="TableContents"/>
              <w:bidi w:val="0"/>
              <w:spacing w:before="0" w:after="283"/>
              <w:jc w:val="left"/>
              <w:rPr>
                <w:sz w:val="4"/>
                <w:szCs w:val="4"/>
              </w:rPr>
            </w:pPr>
            <w:r>
              <w:rPr>
                <w:sz w:val="4"/>
                <w:szCs w:val="4"/>
              </w:rPr>
            </w:r>
          </w:p>
        </w:tc>
      </w:tr>
      <w:tr>
        <w:trPr/>
        <w:tc>
          <w:tcPr>
            <w:tcW w:w="350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321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0" w:type="dxa"/>
            <w:tcBorders/>
            <w:vAlign w:val="bottom"/>
          </w:tcPr>
          <w:p>
            <w:pPr>
              <w:pStyle w:val="TableContents"/>
              <w:bidi w:val="0"/>
              <w:spacing w:before="0" w:after="283"/>
              <w:jc w:val="left"/>
              <w:rPr/>
            </w:pPr>
            <w:r>
              <w:rPr/>
              <w:t>  </w:t>
            </w:r>
          </w:p>
        </w:tc>
        <w:tc>
          <w:tcPr>
            <w:tcW w:w="323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508" w:type="dxa"/>
            <w:tcBorders/>
            <w:vAlign w:val="center"/>
          </w:tcPr>
          <w:p>
            <w:pPr>
              <w:pStyle w:val="TableContents"/>
              <w:bidi w:val="0"/>
              <w:spacing w:before="0" w:after="283"/>
              <w:jc w:val="left"/>
              <w:rPr>
                <w:sz w:val="4"/>
                <w:szCs w:val="4"/>
              </w:rPr>
            </w:pPr>
            <w:r>
              <w:rPr>
                <w:sz w:val="4"/>
                <w:szCs w:val="4"/>
              </w:rPr>
            </w:r>
          </w:p>
        </w:tc>
        <w:tc>
          <w:tcPr>
            <w:tcW w:w="3338" w:type="dxa"/>
            <w:gridSpan w:val="2"/>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r>
      <w:tr>
        <w:trPr/>
        <w:tc>
          <w:tcPr>
            <w:tcW w:w="350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Feng-Ming Wang</w:t>
            </w:r>
          </w:p>
          <w:p>
            <w:pPr>
              <w:pStyle w:val="TableContents"/>
              <w:bidi w:val="0"/>
              <w:spacing w:before="0" w:after="20"/>
              <w:jc w:val="center"/>
              <w:rPr>
                <w:rFonts w:ascii="Times New Roman" w:hAnsi="Times New Roman"/>
                <w:sz w:val="20"/>
              </w:rPr>
            </w:pPr>
            <w:r>
              <w:rPr>
                <w:rFonts w:ascii="Times New Roman" w:hAnsi="Times New Roman"/>
                <w:sz w:val="20"/>
              </w:rPr>
              <w:t>Feng-Ming Wang</w:t>
            </w:r>
          </w:p>
        </w:tc>
        <w:tc>
          <w:tcPr>
            <w:tcW w:w="120"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0"/>
              <w:jc w:val="center"/>
              <w:rPr>
                <w:rFonts w:ascii="Times New Roman" w:hAnsi="Times New Roman"/>
                <w:sz w:val="20"/>
              </w:rPr>
            </w:pPr>
            <w:r>
              <w:rPr>
                <w:rFonts w:ascii="Times New Roman" w:hAnsi="Times New Roman"/>
                <w:sz w:val="20"/>
              </w:rPr>
              <w:t>President, Chief Executive Officer, Executive Chairman and Director</w:t>
              <w:br/>
              <w:t>(Principal Executive Officer)</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center"/>
              <w:rPr/>
            </w:pPr>
            <w:r>
              <w:rPr/>
              <w:t>August 3, 2026</w:t>
            </w:r>
          </w:p>
        </w:tc>
      </w:tr>
      <w:tr>
        <w:trPr>
          <w:trHeight w:val="240" w:hRule="atLeast"/>
        </w:trPr>
        <w:tc>
          <w:tcPr>
            <w:tcW w:w="3508" w:type="dxa"/>
            <w:tcBorders/>
            <w:vAlign w:val="center"/>
          </w:tcPr>
          <w:p>
            <w:pPr>
              <w:pStyle w:val="TableContents"/>
              <w:bidi w:val="0"/>
              <w:spacing w:before="0" w:after="283"/>
              <w:jc w:val="left"/>
              <w:rPr>
                <w:sz w:val="4"/>
                <w:szCs w:val="4"/>
              </w:rPr>
            </w:pPr>
            <w:r>
              <w:rPr>
                <w:sz w:val="4"/>
                <w:szCs w:val="4"/>
              </w:rPr>
            </w:r>
          </w:p>
        </w:tc>
        <w:tc>
          <w:tcPr>
            <w:tcW w:w="3338" w:type="dxa"/>
            <w:gridSpan w:val="2"/>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r>
      <w:tr>
        <w:trPr/>
        <w:tc>
          <w:tcPr>
            <w:tcW w:w="350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John A. Young</w:t>
            </w:r>
          </w:p>
          <w:p>
            <w:pPr>
              <w:pStyle w:val="TableContents"/>
              <w:bidi w:val="0"/>
              <w:spacing w:before="0" w:after="20"/>
              <w:jc w:val="center"/>
              <w:rPr>
                <w:rFonts w:ascii="Times New Roman" w:hAnsi="Times New Roman"/>
                <w:sz w:val="20"/>
              </w:rPr>
            </w:pPr>
            <w:r>
              <w:rPr>
                <w:rFonts w:ascii="Times New Roman" w:hAnsi="Times New Roman"/>
                <w:sz w:val="20"/>
              </w:rPr>
              <w:t>John A. Young</w:t>
            </w:r>
          </w:p>
        </w:tc>
        <w:tc>
          <w:tcPr>
            <w:tcW w:w="120"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br/>
              <w:t>(Principal Financial and Accounting Officer)</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center"/>
              <w:rPr/>
            </w:pPr>
            <w:r>
              <w:rPr/>
              <w:t>August 3, 2026</w:t>
            </w:r>
          </w:p>
        </w:tc>
      </w:tr>
      <w:tr>
        <w:trPr>
          <w:trHeight w:val="240" w:hRule="atLeast"/>
        </w:trPr>
        <w:tc>
          <w:tcPr>
            <w:tcW w:w="3508" w:type="dxa"/>
            <w:tcBorders/>
            <w:vAlign w:val="center"/>
          </w:tcPr>
          <w:p>
            <w:pPr>
              <w:pStyle w:val="TableContents"/>
              <w:bidi w:val="0"/>
              <w:spacing w:before="0" w:after="283"/>
              <w:jc w:val="left"/>
              <w:rPr>
                <w:sz w:val="4"/>
                <w:szCs w:val="4"/>
              </w:rPr>
            </w:pPr>
            <w:r>
              <w:rPr>
                <w:sz w:val="4"/>
                <w:szCs w:val="4"/>
              </w:rPr>
            </w:r>
          </w:p>
        </w:tc>
        <w:tc>
          <w:tcPr>
            <w:tcW w:w="3338" w:type="dxa"/>
            <w:gridSpan w:val="2"/>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r>
      <w:tr>
        <w:trPr/>
        <w:tc>
          <w:tcPr>
            <w:tcW w:w="350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Chantelle Breithaupt</w:t>
            </w:r>
          </w:p>
          <w:p>
            <w:pPr>
              <w:pStyle w:val="TableContents"/>
              <w:bidi w:val="0"/>
              <w:spacing w:before="0" w:after="20"/>
              <w:jc w:val="center"/>
              <w:rPr>
                <w:rFonts w:ascii="Times New Roman" w:hAnsi="Times New Roman"/>
                <w:sz w:val="20"/>
              </w:rPr>
            </w:pPr>
            <w:r>
              <w:rPr>
                <w:rFonts w:ascii="Times New Roman" w:hAnsi="Times New Roman"/>
                <w:sz w:val="20"/>
              </w:rPr>
              <w:t>Chantelle Breithaupt</w:t>
            </w:r>
          </w:p>
        </w:tc>
        <w:tc>
          <w:tcPr>
            <w:tcW w:w="120"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center"/>
              <w:rPr/>
            </w:pPr>
            <w:r>
              <w:rPr/>
              <w:t>August 3, 2026</w:t>
            </w:r>
          </w:p>
        </w:tc>
      </w:tr>
      <w:tr>
        <w:trPr>
          <w:trHeight w:val="240" w:hRule="atLeast"/>
        </w:trPr>
        <w:tc>
          <w:tcPr>
            <w:tcW w:w="3508" w:type="dxa"/>
            <w:tcBorders/>
            <w:vAlign w:val="center"/>
          </w:tcPr>
          <w:p>
            <w:pPr>
              <w:pStyle w:val="TableContents"/>
              <w:bidi w:val="0"/>
              <w:spacing w:before="0" w:after="283"/>
              <w:jc w:val="left"/>
              <w:rPr>
                <w:sz w:val="4"/>
                <w:szCs w:val="4"/>
              </w:rPr>
            </w:pPr>
            <w:r>
              <w:rPr>
                <w:sz w:val="4"/>
                <w:szCs w:val="4"/>
              </w:rPr>
            </w:r>
          </w:p>
        </w:tc>
        <w:tc>
          <w:tcPr>
            <w:tcW w:w="3338" w:type="dxa"/>
            <w:gridSpan w:val="2"/>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r>
      <w:tr>
        <w:trPr/>
        <w:tc>
          <w:tcPr>
            <w:tcW w:w="350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Gregory M. Bryant</w:t>
            </w:r>
          </w:p>
          <w:p>
            <w:pPr>
              <w:pStyle w:val="TableContents"/>
              <w:bidi w:val="0"/>
              <w:spacing w:before="0" w:after="20"/>
              <w:jc w:val="center"/>
              <w:rPr>
                <w:rFonts w:ascii="Times New Roman" w:hAnsi="Times New Roman"/>
                <w:sz w:val="20"/>
              </w:rPr>
            </w:pPr>
            <w:r>
              <w:rPr>
                <w:rFonts w:ascii="Times New Roman" w:hAnsi="Times New Roman"/>
                <w:sz w:val="20"/>
              </w:rPr>
              <w:t>Gregory M. Bryant</w:t>
            </w:r>
          </w:p>
        </w:tc>
        <w:tc>
          <w:tcPr>
            <w:tcW w:w="120"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center"/>
              <w:rPr/>
            </w:pPr>
            <w:r>
              <w:rPr/>
              <w:t>August 3, 2026</w:t>
            </w:r>
          </w:p>
        </w:tc>
      </w:tr>
      <w:tr>
        <w:trPr>
          <w:trHeight w:val="240" w:hRule="atLeast"/>
        </w:trPr>
        <w:tc>
          <w:tcPr>
            <w:tcW w:w="3508" w:type="dxa"/>
            <w:tcBorders/>
            <w:vAlign w:val="center"/>
          </w:tcPr>
          <w:p>
            <w:pPr>
              <w:pStyle w:val="TableContents"/>
              <w:bidi w:val="0"/>
              <w:spacing w:before="0" w:after="283"/>
              <w:jc w:val="left"/>
              <w:rPr>
                <w:sz w:val="4"/>
                <w:szCs w:val="4"/>
              </w:rPr>
            </w:pPr>
            <w:r>
              <w:rPr>
                <w:sz w:val="4"/>
                <w:szCs w:val="4"/>
              </w:rPr>
            </w:r>
          </w:p>
        </w:tc>
        <w:tc>
          <w:tcPr>
            <w:tcW w:w="3338" w:type="dxa"/>
            <w:gridSpan w:val="2"/>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r>
      <w:tr>
        <w:trPr/>
        <w:tc>
          <w:tcPr>
            <w:tcW w:w="350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Hsiao-Wuen Hon</w:t>
            </w:r>
          </w:p>
          <w:p>
            <w:pPr>
              <w:pStyle w:val="TableContents"/>
              <w:bidi w:val="0"/>
              <w:spacing w:before="0" w:after="20"/>
              <w:jc w:val="center"/>
              <w:rPr>
                <w:rFonts w:ascii="Times New Roman" w:hAnsi="Times New Roman"/>
                <w:sz w:val="20"/>
              </w:rPr>
            </w:pPr>
            <w:r>
              <w:rPr>
                <w:rFonts w:ascii="Times New Roman" w:hAnsi="Times New Roman"/>
                <w:sz w:val="20"/>
              </w:rPr>
              <w:t>Hsiao-Wuen Hon</w:t>
            </w:r>
          </w:p>
        </w:tc>
        <w:tc>
          <w:tcPr>
            <w:tcW w:w="120"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center"/>
              <w:rPr/>
            </w:pPr>
            <w:r>
              <w:rPr/>
              <w:t>August 3, 2026</w:t>
            </w:r>
          </w:p>
        </w:tc>
      </w:tr>
      <w:tr>
        <w:trPr>
          <w:trHeight w:val="240" w:hRule="atLeast"/>
        </w:trPr>
        <w:tc>
          <w:tcPr>
            <w:tcW w:w="3508" w:type="dxa"/>
            <w:tcBorders/>
            <w:vAlign w:val="center"/>
          </w:tcPr>
          <w:p>
            <w:pPr>
              <w:pStyle w:val="TableContents"/>
              <w:bidi w:val="0"/>
              <w:spacing w:before="0" w:after="283"/>
              <w:jc w:val="left"/>
              <w:rPr>
                <w:sz w:val="4"/>
                <w:szCs w:val="4"/>
              </w:rPr>
            </w:pPr>
            <w:r>
              <w:rPr>
                <w:sz w:val="4"/>
                <w:szCs w:val="4"/>
              </w:rPr>
            </w:r>
          </w:p>
        </w:tc>
        <w:tc>
          <w:tcPr>
            <w:tcW w:w="3338" w:type="dxa"/>
            <w:gridSpan w:val="2"/>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r>
      <w:tr>
        <w:trPr/>
        <w:tc>
          <w:tcPr>
            <w:tcW w:w="350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Chenming C. Hu</w:t>
            </w:r>
          </w:p>
          <w:p>
            <w:pPr>
              <w:pStyle w:val="TableContents"/>
              <w:bidi w:val="0"/>
              <w:spacing w:before="0" w:after="20"/>
              <w:jc w:val="center"/>
              <w:rPr>
                <w:rFonts w:ascii="Times New Roman" w:hAnsi="Times New Roman"/>
                <w:sz w:val="20"/>
              </w:rPr>
            </w:pPr>
            <w:r>
              <w:rPr>
                <w:rFonts w:ascii="Times New Roman" w:hAnsi="Times New Roman"/>
                <w:sz w:val="20"/>
              </w:rPr>
              <w:t>Chenming C. Hu</w:t>
            </w:r>
          </w:p>
        </w:tc>
        <w:tc>
          <w:tcPr>
            <w:tcW w:w="120"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center"/>
              <w:rPr/>
            </w:pPr>
            <w:r>
              <w:rPr/>
              <w:t>August 3, 2026</w:t>
            </w:r>
          </w:p>
        </w:tc>
      </w:tr>
      <w:tr>
        <w:trPr>
          <w:trHeight w:val="240" w:hRule="atLeast"/>
        </w:trPr>
        <w:tc>
          <w:tcPr>
            <w:tcW w:w="3508" w:type="dxa"/>
            <w:tcBorders/>
            <w:vAlign w:val="center"/>
          </w:tcPr>
          <w:p>
            <w:pPr>
              <w:pStyle w:val="TableContents"/>
              <w:bidi w:val="0"/>
              <w:spacing w:before="0" w:after="283"/>
              <w:jc w:val="left"/>
              <w:rPr>
                <w:sz w:val="4"/>
                <w:szCs w:val="4"/>
              </w:rPr>
            </w:pPr>
            <w:r>
              <w:rPr>
                <w:sz w:val="4"/>
                <w:szCs w:val="4"/>
              </w:rPr>
            </w:r>
          </w:p>
        </w:tc>
        <w:tc>
          <w:tcPr>
            <w:tcW w:w="3338" w:type="dxa"/>
            <w:gridSpan w:val="2"/>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r>
      <w:tr>
        <w:trPr/>
        <w:tc>
          <w:tcPr>
            <w:tcW w:w="350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Christopher B. Paisley</w:t>
            </w:r>
          </w:p>
          <w:p>
            <w:pPr>
              <w:pStyle w:val="TableContents"/>
              <w:bidi w:val="0"/>
              <w:spacing w:before="0" w:after="20"/>
              <w:jc w:val="center"/>
              <w:rPr>
                <w:rFonts w:ascii="Times New Roman" w:hAnsi="Times New Roman"/>
                <w:sz w:val="20"/>
              </w:rPr>
            </w:pPr>
            <w:r>
              <w:rPr>
                <w:rFonts w:ascii="Times New Roman" w:hAnsi="Times New Roman"/>
                <w:sz w:val="20"/>
              </w:rPr>
              <w:t>Christopher B. Paisley</w:t>
            </w:r>
          </w:p>
        </w:tc>
        <w:tc>
          <w:tcPr>
            <w:tcW w:w="120"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center"/>
              <w:rPr/>
            </w:pPr>
            <w:r>
              <w:rPr/>
              <w:t>August 3, 2026</w:t>
            </w:r>
          </w:p>
        </w:tc>
      </w:tr>
      <w:tr>
        <w:trPr>
          <w:trHeight w:val="240" w:hRule="atLeast"/>
        </w:trPr>
        <w:tc>
          <w:tcPr>
            <w:tcW w:w="3508" w:type="dxa"/>
            <w:tcBorders/>
            <w:vAlign w:val="center"/>
          </w:tcPr>
          <w:p>
            <w:pPr>
              <w:pStyle w:val="TableContents"/>
              <w:bidi w:val="0"/>
              <w:spacing w:before="0" w:after="283"/>
              <w:jc w:val="left"/>
              <w:rPr>
                <w:sz w:val="4"/>
                <w:szCs w:val="4"/>
              </w:rPr>
            </w:pPr>
            <w:r>
              <w:rPr>
                <w:sz w:val="4"/>
                <w:szCs w:val="4"/>
              </w:rPr>
            </w:r>
          </w:p>
        </w:tc>
        <w:tc>
          <w:tcPr>
            <w:tcW w:w="3338" w:type="dxa"/>
            <w:gridSpan w:val="2"/>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r>
      <w:tr>
        <w:trPr/>
        <w:tc>
          <w:tcPr>
            <w:tcW w:w="350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 Jeffrey Richardson</w:t>
            </w:r>
          </w:p>
          <w:p>
            <w:pPr>
              <w:pStyle w:val="TableContents"/>
              <w:bidi w:val="0"/>
              <w:spacing w:before="0" w:after="20"/>
              <w:jc w:val="center"/>
              <w:rPr>
                <w:rFonts w:ascii="Times New Roman" w:hAnsi="Times New Roman"/>
                <w:sz w:val="20"/>
              </w:rPr>
            </w:pPr>
            <w:r>
              <w:rPr>
                <w:rFonts w:ascii="Times New Roman" w:hAnsi="Times New Roman"/>
                <w:sz w:val="20"/>
              </w:rPr>
              <w:t>D. Jeffrey Richardson</w:t>
            </w:r>
          </w:p>
        </w:tc>
        <w:tc>
          <w:tcPr>
            <w:tcW w:w="120"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center"/>
              <w:rPr/>
            </w:pPr>
            <w:r>
              <w:rPr/>
              <w:t>August 3, 2026</w:t>
            </w:r>
          </w:p>
        </w:tc>
      </w:tr>
      <w:tr>
        <w:trPr>
          <w:trHeight w:val="240" w:hRule="atLeast"/>
        </w:trPr>
        <w:tc>
          <w:tcPr>
            <w:tcW w:w="3508" w:type="dxa"/>
            <w:tcBorders/>
            <w:vAlign w:val="center"/>
          </w:tcPr>
          <w:p>
            <w:pPr>
              <w:pStyle w:val="TableContents"/>
              <w:bidi w:val="0"/>
              <w:spacing w:before="0" w:after="283"/>
              <w:jc w:val="left"/>
              <w:rPr>
                <w:sz w:val="4"/>
                <w:szCs w:val="4"/>
              </w:rPr>
            </w:pPr>
            <w:r>
              <w:rPr>
                <w:sz w:val="4"/>
                <w:szCs w:val="4"/>
              </w:rPr>
            </w:r>
          </w:p>
        </w:tc>
        <w:tc>
          <w:tcPr>
            <w:tcW w:w="3338" w:type="dxa"/>
            <w:gridSpan w:val="2"/>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r>
      <w:tr>
        <w:trPr/>
        <w:tc>
          <w:tcPr>
            <w:tcW w:w="350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Elizabeth M. Schwarting</w:t>
            </w:r>
          </w:p>
          <w:p>
            <w:pPr>
              <w:pStyle w:val="TableContents"/>
              <w:bidi w:val="0"/>
              <w:spacing w:before="0" w:after="20"/>
              <w:jc w:val="center"/>
              <w:rPr>
                <w:rFonts w:ascii="Times New Roman" w:hAnsi="Times New Roman"/>
                <w:sz w:val="20"/>
              </w:rPr>
            </w:pPr>
            <w:r>
              <w:rPr>
                <w:rFonts w:ascii="Times New Roman" w:hAnsi="Times New Roman"/>
                <w:sz w:val="20"/>
              </w:rPr>
              <w:t>Elizabeth M. Schwarting</w:t>
            </w:r>
          </w:p>
        </w:tc>
        <w:tc>
          <w:tcPr>
            <w:tcW w:w="120"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center"/>
              <w:rPr/>
            </w:pPr>
            <w:r>
              <w:rPr/>
              <w:t>August 3,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p>
    <w:p>
      <w:pPr>
        <w:pStyle w:val="TextBody"/>
        <w:bidi w:val="0"/>
        <w:spacing w:before="0" w:after="0"/>
        <w:jc w:val="right"/>
        <w:rPr>
          <w:rFonts w:ascii="Times New Roman" w:hAnsi="Times New Roman"/>
          <w:b/>
          <w:sz w:val="20"/>
        </w:rPr>
      </w:pPr>
      <w:bookmarkStart w:id="3" w:name="d136782dex51.htm"/>
      <w:bookmarkStart w:id="4" w:name="ksd136782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923925"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0"/>
                    <a:stretch>
                      <a:fillRect/>
                    </a:stretch>
                  </pic:blipFill>
                  <pic:spPr bwMode="auto">
                    <a:xfrm>
                      <a:off x="0" y="0"/>
                      <a:ext cx="923925" cy="876300"/>
                    </a:xfrm>
                    <a:prstGeom prst="rect">
                      <a:avLst/>
                    </a:prstGeom>
                  </pic:spPr>
                </pic:pic>
              </a:graphicData>
            </a:graphic>
          </wp:inline>
        </w:drawing>
      </w:r>
      <w:r>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Our ref   ZAX/604688-000001/79907715v2 </w:t>
      </w:r>
    </w:p>
    <w:p>
      <w:pPr>
        <w:pStyle w:val="TextBody"/>
        <w:bidi w:val="0"/>
        <w:spacing w:before="240" w:after="0"/>
        <w:jc w:val="left"/>
        <w:rPr>
          <w:rFonts w:ascii="Times New Roman" w:hAnsi="Times New Roman"/>
          <w:sz w:val="20"/>
        </w:rPr>
      </w:pPr>
      <w:r>
        <w:rPr>
          <w:rFonts w:ascii="Times New Roman" w:hAnsi="Times New Roman"/>
          <w:sz w:val="20"/>
        </w:rPr>
        <w:t xml:space="preserve">Ambarella, Inc. </w:t>
      </w:r>
    </w:p>
    <w:p>
      <w:pPr>
        <w:pStyle w:val="TextBody"/>
        <w:bidi w:val="0"/>
        <w:spacing w:before="0" w:after="0"/>
        <w:jc w:val="left"/>
        <w:rPr>
          <w:rFonts w:ascii="Times New Roman" w:hAnsi="Times New Roman"/>
          <w:sz w:val="20"/>
        </w:rPr>
      </w:pPr>
      <w:r>
        <w:rPr>
          <w:rFonts w:ascii="Times New Roman" w:hAnsi="Times New Roman"/>
          <w:sz w:val="20"/>
        </w:rPr>
        <w:t xml:space="preserve">PO Box 309, Ugland House </w:t>
      </w:r>
    </w:p>
    <w:p>
      <w:pPr>
        <w:pStyle w:val="TextBody"/>
        <w:bidi w:val="0"/>
        <w:spacing w:before="0" w:after="0"/>
        <w:jc w:val="left"/>
        <w:rPr>
          <w:rFonts w:ascii="Times New Roman" w:hAnsi="Times New Roman"/>
          <w:sz w:val="20"/>
        </w:rPr>
      </w:pPr>
      <w:r>
        <w:rPr>
          <w:rFonts w:ascii="Times New Roman" w:hAnsi="Times New Roman"/>
          <w:sz w:val="20"/>
        </w:rPr>
        <w:t xml:space="preserve">Grand Cayman </w:t>
      </w:r>
    </w:p>
    <w:p>
      <w:pPr>
        <w:pStyle w:val="TextBody"/>
        <w:bidi w:val="0"/>
        <w:spacing w:before="0" w:after="0"/>
        <w:jc w:val="left"/>
        <w:rPr>
          <w:rFonts w:ascii="Times New Roman" w:hAnsi="Times New Roman"/>
          <w:sz w:val="20"/>
        </w:rPr>
      </w:pPr>
      <w:r>
        <w:rPr>
          <w:rFonts w:ascii="Times New Roman" w:hAnsi="Times New Roman"/>
          <w:sz w:val="20"/>
        </w:rPr>
        <w:t xml:space="preserve">KY1-1104 </w:t>
      </w:r>
    </w:p>
    <w:p>
      <w:pPr>
        <w:pStyle w:val="TextBody"/>
        <w:bidi w:val="0"/>
        <w:spacing w:before="0" w:after="0"/>
        <w:jc w:val="left"/>
        <w:rPr>
          <w:rFonts w:ascii="Times New Roman" w:hAnsi="Times New Roman"/>
          <w:sz w:val="20"/>
        </w:rPr>
      </w:pPr>
      <w:r>
        <w:rPr>
          <w:rFonts w:ascii="Times New Roman" w:hAnsi="Times New Roman"/>
          <w:sz w:val="20"/>
        </w:rPr>
        <w:t xml:space="preserve">Cayman Islands </w:t>
      </w:r>
    </w:p>
    <w:p>
      <w:pPr>
        <w:pStyle w:val="TextBody"/>
        <w:bidi w:val="0"/>
        <w:spacing w:before="240" w:after="0"/>
        <w:jc w:val="left"/>
        <w:rPr>
          <w:rFonts w:ascii="Times New Roman" w:hAnsi="Times New Roman"/>
          <w:sz w:val="20"/>
        </w:rPr>
      </w:pPr>
      <w:r>
        <w:rPr>
          <w:rFonts w:ascii="Times New Roman" w:hAnsi="Times New Roman"/>
          <w:sz w:val="20"/>
        </w:rPr>
        <w:t xml:space="preserve">3 August 2026 </w:t>
      </w:r>
    </w:p>
    <w:p>
      <w:pPr>
        <w:pStyle w:val="TextBody"/>
        <w:bidi w:val="0"/>
        <w:spacing w:before="360" w:after="0"/>
        <w:jc w:val="left"/>
        <w:rPr>
          <w:rFonts w:ascii="Times New Roman" w:hAnsi="Times New Roman"/>
          <w:b/>
          <w:sz w:val="20"/>
        </w:rPr>
      </w:pPr>
      <w:r>
        <w:rPr>
          <w:rFonts w:ascii="Times New Roman" w:hAnsi="Times New Roman"/>
          <w:b/>
          <w:sz w:val="20"/>
        </w:rPr>
        <w:t xml:space="preserve">Ambarella, Inc. </w:t>
      </w:r>
    </w:p>
    <w:p>
      <w:pPr>
        <w:pStyle w:val="TextBody"/>
        <w:bidi w:val="0"/>
        <w:spacing w:before="120" w:after="0"/>
        <w:jc w:val="left"/>
        <w:rPr>
          <w:rFonts w:ascii="Times New Roman" w:hAnsi="Times New Roman"/>
          <w:sz w:val="20"/>
        </w:rPr>
      </w:pPr>
      <w:r>
        <w:rPr>
          <w:rFonts w:ascii="Times New Roman" w:hAnsi="Times New Roman"/>
          <w:sz w:val="20"/>
        </w:rPr>
        <w:t>We have acted as counsel as to Cayman Islands law to Ambarella, Inc. (the “</w:t>
      </w:r>
      <w:r>
        <w:rPr>
          <w:rFonts w:ascii="Times New Roman" w:hAnsi="Times New Roman"/>
          <w:b/>
          <w:sz w:val="20"/>
        </w:rPr>
        <w:t>Company</w:t>
      </w:r>
      <w:r>
        <w:rPr>
          <w:rFonts w:ascii="Times New Roman" w:hAnsi="Times New Roman"/>
          <w:sz w:val="20"/>
        </w:rPr>
        <w:t>”) in connection with the Company’s registration statement on Form S-8, including all amendments or supplements thereto (the “</w:t>
      </w:r>
      <w:r>
        <w:rPr>
          <w:rFonts w:ascii="Times New Roman" w:hAnsi="Times New Roman"/>
          <w:b/>
          <w:sz w:val="20"/>
        </w:rPr>
        <w:t>Form S-8</w:t>
      </w:r>
      <w:r>
        <w:rPr>
          <w:rFonts w:ascii="Times New Roman" w:hAnsi="Times New Roman"/>
          <w:sz w:val="20"/>
        </w:rPr>
        <w:t>”), filed with the United States Securities and Exchange Commission (the “</w:t>
      </w:r>
      <w:r>
        <w:rPr>
          <w:rFonts w:ascii="Times New Roman" w:hAnsi="Times New Roman"/>
          <w:b/>
          <w:sz w:val="20"/>
        </w:rPr>
        <w:t>Commission</w:t>
      </w:r>
      <w:r>
        <w:rPr>
          <w:rFonts w:ascii="Times New Roman" w:hAnsi="Times New Roman"/>
          <w:sz w:val="20"/>
        </w:rPr>
        <w:t>”) under the United States Securities Act of 1933 (the “</w:t>
      </w:r>
      <w:r>
        <w:rPr>
          <w:rFonts w:ascii="Times New Roman" w:hAnsi="Times New Roman"/>
          <w:b/>
          <w:sz w:val="20"/>
        </w:rPr>
        <w:t>Act</w:t>
      </w:r>
      <w:r>
        <w:rPr>
          <w:rFonts w:ascii="Times New Roman" w:hAnsi="Times New Roman"/>
          <w:sz w:val="20"/>
        </w:rPr>
        <w:t>”), as amended (the “</w:t>
      </w:r>
      <w:r>
        <w:rPr>
          <w:rFonts w:ascii="Times New Roman" w:hAnsi="Times New Roman"/>
          <w:b/>
          <w:sz w:val="20"/>
        </w:rPr>
        <w:t>Registration Statement</w:t>
      </w:r>
      <w:r>
        <w:rPr>
          <w:rFonts w:ascii="Times New Roman" w:hAnsi="Times New Roman"/>
          <w:sz w:val="20"/>
        </w:rPr>
        <w:t>”) relating to the reservation for issuance of 2,750,000 Ordinary Shares of the Company of a par value of US$0.00045 each, (the “</w:t>
      </w:r>
      <w:r>
        <w:rPr>
          <w:rFonts w:ascii="Times New Roman" w:hAnsi="Times New Roman"/>
          <w:b/>
          <w:sz w:val="20"/>
        </w:rPr>
        <w:t>Shares</w:t>
      </w:r>
      <w:r>
        <w:rPr>
          <w:rFonts w:ascii="Times New Roman" w:hAnsi="Times New Roman"/>
          <w:sz w:val="20"/>
        </w:rPr>
        <w:t>”), upon the granting of certain awards under the Amended and Restated 2021 Equity Incentive Plan (the “</w:t>
      </w:r>
      <w:r>
        <w:rPr>
          <w:rFonts w:ascii="Times New Roman" w:hAnsi="Times New Roman"/>
          <w:b/>
          <w:sz w:val="20"/>
        </w:rPr>
        <w:t>Plan</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Documents Reviewed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have reviewed originals, copies, drafts or conformed copies of the following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certificate of incorporation dated 15 January 2004 and the amended and restated memorandum of association and the second amended and restated articles of association of the Company adopted on 14 September 2012 and effective immediately upon the closing of the Company’s initial public offering of its Ordinary Shares on 15 October 2012 (the “</w:t>
            </w:r>
            <w:r>
              <w:rPr>
                <w:rFonts w:ascii="Times New Roman" w:hAnsi="Times New Roman"/>
                <w:b/>
                <w:sz w:val="20"/>
              </w:rPr>
              <w:t>Memorandum and Articles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written resolutions of the board of directors of the Company dated 29 April 2026 (the “</w:t>
            </w:r>
            <w:r>
              <w:rPr>
                <w:rFonts w:ascii="Times New Roman" w:hAnsi="Times New Roman"/>
                <w:b/>
                <w:sz w:val="20"/>
              </w:rPr>
              <w:t>Resolutions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minutes (the “</w:t>
            </w:r>
            <w:r>
              <w:rPr>
                <w:rFonts w:ascii="Times New Roman" w:hAnsi="Times New Roman"/>
                <w:b/>
                <w:sz w:val="20"/>
              </w:rPr>
              <w:t>Minutes</w:t>
            </w:r>
            <w:r>
              <w:rPr>
                <w:rFonts w:ascii="Times New Roman" w:hAnsi="Times New Roman"/>
                <w:sz w:val="20"/>
              </w:rPr>
              <w:t>”) of the annual general meeting of the Company (the “</w:t>
            </w:r>
            <w:r>
              <w:rPr>
                <w:rFonts w:ascii="Times New Roman" w:hAnsi="Times New Roman"/>
                <w:b/>
                <w:sz w:val="20"/>
              </w:rPr>
              <w:t>Meeting</w:t>
            </w:r>
            <w:r>
              <w:rPr>
                <w:rFonts w:ascii="Times New Roman" w:hAnsi="Times New Roman"/>
                <w:sz w:val="20"/>
              </w:rPr>
              <w:t xml:space="preserve">”) held on 26 June 2026. </w:t>
            </w:r>
          </w:p>
        </w:tc>
      </w:tr>
    </w:tbl>
    <w:p>
      <w:pPr>
        <w:pStyle w:val="TextBody"/>
        <w:bidi w:val="0"/>
        <w:spacing w:before="0" w:after="0"/>
        <w:jc w:val="left"/>
        <w:rPr/>
      </w:pPr>
      <w:r>
        <w:rPr/>
        <w:t> </w:t>
      </w:r>
    </w:p>
    <w:p>
      <w:pPr>
        <w:pStyle w:val="TextBody"/>
        <w:bidi w:val="0"/>
        <w:spacing w:before="0" w:after="0"/>
        <w:jc w:val="left"/>
        <w:rPr/>
      </w:pPr>
      <w:r>
        <w:rPr/>
        <w:drawing>
          <wp:inline distT="0" distB="0" distL="0" distR="0">
            <wp:extent cx="5924550" cy="628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5924550" cy="62865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 certificate of good standing with respect to the Company issued by the Registrar of Companies (the “</w:t>
            </w:r>
            <w:r>
              <w:rPr>
                <w:rFonts w:ascii="Times New Roman" w:hAnsi="Times New Roman"/>
                <w:b/>
                <w:sz w:val="20"/>
              </w:rPr>
              <w:t>Certificate of Good Standing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 certificate from a director of the Company a copy of which is attached to this opinion letter (the “</w:t>
            </w:r>
            <w:r>
              <w:rPr>
                <w:rFonts w:ascii="Times New Roman" w:hAnsi="Times New Roman"/>
                <w:b/>
                <w:sz w:val="20"/>
              </w:rPr>
              <w:t>Director’s Certificate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Assumptions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opinions are given only as to, and based on, circumstances and matters of fact existing and known to us on the date of this opinion letter. These opinions only relate to the laws of the Cayman Islands which are in force on the date of this opinion letter. In giving the following opinions, we have relied (without further verification) upon the completeness and accuracy, as at the date of this opinion letter, of the Director’s Certificate and the Certificate of Good Standing. We have also relied upon the following assumptions, which we have not independently verified: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Plan has been or will be authorised and duly executed and unconditionally delivered by or on behalf of all relevant parties in accordance with all relevant laws (other than, with respect to the Company, the laws of the Cayman Islands).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Plan is, or will be, legal, valid, binding and enforceable against all relevant parties in accordance with its terms under the laws of the State of California (the “</w:t>
            </w:r>
            <w:r>
              <w:rPr>
                <w:rFonts w:ascii="Times New Roman" w:hAnsi="Times New Roman"/>
                <w:b/>
                <w:sz w:val="20"/>
              </w:rPr>
              <w:t>Relevant Law</w:t>
            </w:r>
            <w:r>
              <w:rPr>
                <w:rFonts w:ascii="Times New Roman" w:hAnsi="Times New Roman"/>
                <w:sz w:val="20"/>
              </w:rPr>
              <w:t xml:space="preserve">”) and all other relevant laws (other than, with respect to the Company, the laws of the Cayman Islands).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choice of the Relevant Law as the governing law of the Plan has been made in good faith and would be regarded as a valid and binding selection which will be upheld by the courts of the State of California and any other relevant jurisdiction (other than the Cayman Islands) as a matter of the Relevant Law and all other relevant laws (other than the laws of the Cayman Islands).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Copies of documents, conformed copies or drafts of documents provided to us are true and complete copies of, or in the final forms of, the originals.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signatures, initials and seals are genuine.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capacity, power, authority and legal right of all parties under all relevant laws and regulations (other than, with respect to the Company, the laws and regulations of the Cayman Islands) to enter into, execute, unconditionally deliver and perform their respective obligations under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nothing contained in the minute book or corporate records of the Company (which we have not inspected) which would or might affect the opinions set out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nothing under any law (other than the laws of the Cayman Islands) which would or might affect the opinions set out below. Specifically, we have made no independent investigation of the Relevant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has received, or will receive, money or money’s worth (the “</w:t>
            </w:r>
            <w:r>
              <w:rPr>
                <w:rFonts w:ascii="Times New Roman" w:hAnsi="Times New Roman"/>
                <w:b/>
                <w:sz w:val="20"/>
              </w:rPr>
              <w:t>Consideration</w:t>
            </w:r>
            <w:r>
              <w:rPr>
                <w:rFonts w:ascii="Times New Roman" w:hAnsi="Times New Roman"/>
                <w:sz w:val="20"/>
              </w:rPr>
              <w:t xml:space="preserve">”) in consideration for the issue of the Shares, and none of the Shares have, or will be, issued for less than par value.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Save as aforesaid we have not been instructed to undertake and have not undertaken any further enquiry or due diligence in relation to the transaction the subject of this opinion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Opinions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Based upon, and subject to, the foregoing assumptions and the qualification set out below, and having regard to such legal considerations as we deem relevant, we are of the opinion that the Shares to be offered and issued by the Company pursuant to the provisions of the Plan, have been duly authorised for issue, and when issued by the Company pursuant to the provisions of the Plan for the consideration fixed thereto and duly registered in the Company’s register of members (shareholders), will be validly issued and (assuming that all of the Consideration is received by the Company) will be fully paid and non-assessable.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Qualifications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opinions expressed above are subject to the following qualification: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Cayman Islands law, the register of members (shareholders) is prima facie evidence of title to shares and this register would not record a third party interest in such shares.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As far as we are aware, such applications are rarely made in the Cayman Islands and for the purposes of the opinion given in paragraph 3, there are no circumstances or matters of fact known to us on the date of this opinion letter which would properly form the basis for an application for an order for rectification of the register of members of the Company, but if such an application were made in respect of the Shares, then the validity of such shares may be subject to re-examination by a Cayman Islands court.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this opinion letter, the phrase “non-assessable” means, with respect to the issuance of shares, that a shareholder shall not, in respect of the relevant shares and in the absence of a contractual arrangement, or an obligation pursuant to the memorandum and articles of association, to the contrary,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letter as an exhibit to the Registration Statement. In providing our consent, we do not thereby admit that we are in the category of persons whose consent is required under Section 7 of the Act or the Rules and Regulations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opinions in this opinion letter are strictly limited to the matters contained in the opinions section above and do not extend to any other matters. We have not been asked to review and we therefore have not reviewed any of the ancillary documents relating to the Plan and express no opinion or observation upon the terms of any such document.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is addressed to you and may be relied upon by you and your counsel. This opinion letter is limited to the matters detailed herein and is not to be read as an opinion with respect to any other matter.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Yours faithfully</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/s/ Maples and Calder (Cayman) LLP</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Maples and Calder (Cayman) LLP</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Ambarella, Inc. </w:t>
      </w:r>
    </w:p>
    <w:p>
      <w:pPr>
        <w:pStyle w:val="TextBody"/>
        <w:bidi w:val="0"/>
        <w:spacing w:before="0" w:after="0"/>
        <w:jc w:val="center"/>
        <w:rPr>
          <w:rFonts w:ascii="Times New Roman" w:hAnsi="Times New Roman"/>
          <w:sz w:val="20"/>
        </w:rPr>
      </w:pPr>
      <w:r>
        <w:rPr>
          <w:rFonts w:ascii="Times New Roman" w:hAnsi="Times New Roman"/>
          <w:sz w:val="20"/>
        </w:rPr>
        <w:t xml:space="preserve">PO Box 309, Ugland House </w:t>
      </w:r>
    </w:p>
    <w:p>
      <w:pPr>
        <w:pStyle w:val="TextBody"/>
        <w:bidi w:val="0"/>
        <w:spacing w:before="0" w:after="0"/>
        <w:jc w:val="center"/>
        <w:rPr>
          <w:rFonts w:ascii="Times New Roman" w:hAnsi="Times New Roman"/>
          <w:sz w:val="20"/>
        </w:rPr>
      </w:pPr>
      <w:r>
        <w:rPr>
          <w:rFonts w:ascii="Times New Roman" w:hAnsi="Times New Roman"/>
          <w:sz w:val="20"/>
        </w:rPr>
        <w:t xml:space="preserve">Grand Cayman </w:t>
      </w:r>
    </w:p>
    <w:p>
      <w:pPr>
        <w:pStyle w:val="TextBody"/>
        <w:bidi w:val="0"/>
        <w:spacing w:before="0" w:after="0"/>
        <w:jc w:val="center"/>
        <w:rPr>
          <w:rFonts w:ascii="Times New Roman" w:hAnsi="Times New Roman"/>
          <w:sz w:val="20"/>
        </w:rPr>
      </w:pPr>
      <w:r>
        <w:rPr>
          <w:rFonts w:ascii="Times New Roman" w:hAnsi="Times New Roman"/>
          <w:sz w:val="20"/>
        </w:rPr>
        <w:t xml:space="preserve">KY1-1104 </w:t>
      </w:r>
    </w:p>
    <w:p>
      <w:pPr>
        <w:pStyle w:val="TextBody"/>
        <w:bidi w:val="0"/>
        <w:spacing w:before="0" w:after="0"/>
        <w:jc w:val="center"/>
        <w:rPr>
          <w:rFonts w:ascii="Times New Roman" w:hAnsi="Times New Roman"/>
          <w:sz w:val="20"/>
        </w:rPr>
      </w:pPr>
      <w:r>
        <w:rPr>
          <w:rFonts w:ascii="Times New Roman" w:hAnsi="Times New Roman"/>
          <w:sz w:val="20"/>
        </w:rPr>
        <w:t xml:space="preserve">Cayman Islands </w:t>
      </w:r>
    </w:p>
    <w:p>
      <w:pPr>
        <w:pStyle w:val="TextBody"/>
        <w:bidi w:val="0"/>
        <w:spacing w:before="240" w:after="0"/>
        <w:jc w:val="right"/>
        <w:rPr>
          <w:rFonts w:ascii="Times New Roman" w:hAnsi="Times New Roman"/>
          <w:sz w:val="20"/>
        </w:rPr>
      </w:pPr>
      <w:r>
        <w:rPr>
          <w:rFonts w:ascii="Times New Roman" w:hAnsi="Times New Roman"/>
          <w:sz w:val="20"/>
        </w:rPr>
        <w:t xml:space="preserve">3 August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To: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Maples and Calder (Cayman) LLP </w:t>
            </w:r>
          </w:p>
        </w:tc>
      </w:tr>
    </w:tbl>
    <w:p>
      <w:pPr>
        <w:pStyle w:val="TextBody"/>
        <w:bidi w:val="0"/>
        <w:spacing w:before="0" w:after="0"/>
        <w:jc w:val="left"/>
        <w:rPr>
          <w:rFonts w:ascii="Times New Roman" w:hAnsi="Times New Roman"/>
          <w:sz w:val="20"/>
        </w:rPr>
      </w:pPr>
      <w:r>
        <w:rPr>
          <w:rFonts w:ascii="Times New Roman" w:hAnsi="Times New Roman"/>
          <w:sz w:val="20"/>
        </w:rPr>
        <w:t xml:space="preserve">PO Box 309, Ugland House </w:t>
      </w:r>
    </w:p>
    <w:p>
      <w:pPr>
        <w:pStyle w:val="TextBody"/>
        <w:bidi w:val="0"/>
        <w:spacing w:before="0" w:after="0"/>
        <w:jc w:val="left"/>
        <w:rPr>
          <w:rFonts w:ascii="Times New Roman" w:hAnsi="Times New Roman"/>
          <w:sz w:val="20"/>
        </w:rPr>
      </w:pPr>
      <w:r>
        <w:rPr>
          <w:rFonts w:ascii="Times New Roman" w:hAnsi="Times New Roman"/>
          <w:sz w:val="20"/>
        </w:rPr>
        <w:t xml:space="preserve">Grand Cayman </w:t>
      </w:r>
    </w:p>
    <w:p>
      <w:pPr>
        <w:pStyle w:val="TextBody"/>
        <w:bidi w:val="0"/>
        <w:spacing w:before="0" w:after="0"/>
        <w:jc w:val="left"/>
        <w:rPr>
          <w:rFonts w:ascii="Times New Roman" w:hAnsi="Times New Roman"/>
          <w:sz w:val="20"/>
        </w:rPr>
      </w:pPr>
      <w:r>
        <w:rPr>
          <w:rFonts w:ascii="Times New Roman" w:hAnsi="Times New Roman"/>
          <w:sz w:val="20"/>
        </w:rPr>
        <w:t xml:space="preserve">KY1-1104 </w:t>
      </w:r>
    </w:p>
    <w:p>
      <w:pPr>
        <w:pStyle w:val="TextBody"/>
        <w:bidi w:val="0"/>
        <w:spacing w:before="0" w:after="0"/>
        <w:jc w:val="left"/>
        <w:rPr>
          <w:rFonts w:ascii="Times New Roman" w:hAnsi="Times New Roman"/>
          <w:sz w:val="20"/>
        </w:rPr>
      </w:pPr>
      <w:r>
        <w:rPr>
          <w:rFonts w:ascii="Times New Roman" w:hAnsi="Times New Roman"/>
          <w:sz w:val="20"/>
        </w:rPr>
        <w:t xml:space="preserve">Cayman Islands </w:t>
      </w:r>
    </w:p>
    <w:p>
      <w:pPr>
        <w:pStyle w:val="TextBody"/>
        <w:bidi w:val="0"/>
        <w:spacing w:before="360" w:after="0"/>
        <w:jc w:val="left"/>
        <w:rPr>
          <w:rFonts w:ascii="Times New Roman" w:hAnsi="Times New Roman"/>
          <w:sz w:val="20"/>
        </w:rPr>
      </w:pPr>
      <w:r>
        <w:rPr>
          <w:rFonts w:ascii="Times New Roman" w:hAnsi="Times New Roman"/>
          <w:b/>
          <w:sz w:val="20"/>
        </w:rPr>
        <w:t>Ambarella, Inc.</w:t>
      </w:r>
      <w:r>
        <w:rPr>
          <w:rFonts w:ascii="Times New Roman" w:hAnsi="Times New Roman"/>
          <w:sz w:val="20"/>
        </w:rPr>
        <w:t xml:space="preserve"> (the “</w:t>
      </w:r>
      <w:r>
        <w:rPr>
          <w:rFonts w:ascii="Times New Roman" w:hAnsi="Times New Roman"/>
          <w:b/>
          <w:sz w:val="20"/>
        </w:rPr>
        <w:t>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the undersigned, being a director of the Company, am aware that you are being asked to provide an opinion letter (the “</w:t>
      </w:r>
      <w:r>
        <w:rPr>
          <w:rFonts w:ascii="Times New Roman" w:hAnsi="Times New Roman"/>
          <w:b/>
          <w:sz w:val="20"/>
        </w:rPr>
        <w:t>Opinion</w:t>
      </w:r>
      <w:r>
        <w:rPr>
          <w:rFonts w:ascii="Times New Roman" w:hAnsi="Times New Roman"/>
          <w:sz w:val="20"/>
        </w:rPr>
        <w:t xml:space="preserve">”) in relation to certain aspects of Cayman Islands law. Unless otherwise defined herein, capitalised terms used in this certificate have the respective meanings given to them in the Opinion. I hereby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Memorandum and Articles remain in full force and effect and are unamended.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not entered into any mortgages or charges over its property or assets other than those entered in the register of mortgages and charges of the Company, or contemplated by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Resolutions were duly passed in the manner prescribed in the Memorandum and Articles (including, without limitation, with respect to the disclosure of interests (if any) by directors of the Company) and have not been amended, varied or revoked in any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Minutes are a true and correct record of the proceedings of the Meeting, which was duly convened and held, and at which a quorum was present throughout, in each case, in the manner prescribed in the Memorandum and Articles. The resolutions set out in the Minutes were duly adopted, are in full force and effect at the date hereof and have not been amended, varied or revoked in any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authorised share capital of the Company is US$99,000.00 divided into 200,000,000 Ordinary Shares of a nominal or par value of US$0.00045 each and 20,000,000 Preference Shares of a nominal or par value of US$0.00045 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The shareholders of the Company (the “</w:t>
            </w:r>
            <w:r>
              <w:rPr>
                <w:rFonts w:ascii="Times New Roman" w:hAnsi="Times New Roman"/>
                <w:b/>
                <w:sz w:val="20"/>
              </w:rPr>
              <w:t>Shareholders</w:t>
            </w:r>
            <w:r>
              <w:rPr>
                <w:rFonts w:ascii="Times New Roman" w:hAnsi="Times New Roman"/>
                <w:sz w:val="20"/>
              </w:rPr>
              <w:t xml:space="preserve">”) have not restricted the powers of the directors of the Company in any way.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7</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of the Company at the date of the Resolutions and at the date of this certificate were and are as follows: Feng-Ming Wang, Chenming C. Hu, Christopher B. Paisley, Jeffrey Richardson, Hsiao-Wuen Hon, Elizabeth M Schwarting, Chantelle Breithaupt and Gregory M. Bryant.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no contractual or other prohibition (other than as arising under Cayman Islands law) binding on the Company prohibiting it from entering into and performing its obligations under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minute book and corporate records of the Company as maintained at its registered office in the Cayman Islands and made available to you are complete and accurate in all material respects, and all minutes and resolutions filed therein represent a complete and accurate record of all meetings of the Shareholders and directors (or any committee thereof) of the Company (duly convened in accordance with the Memorandum and Articles) and all resolutions passed at the meetings or passed by written resolution or consent,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at the time of, and immediately following the approval of the transactions the subject of the Plan, the Company was, or will be, able to pay its debts as they fell, or fall, due and has entered, or will enter, into the transactions the subject of the Plan for proper value and not with an intention to defraud or wilfully defeat an obligation owed to any creditor or with a view to giving a creditor a preference.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director of the Company considers the transactions contemplated by the Plan to be of commercial benefit to the Company and has acted in good faith in the best interests of the Company, and for a proper purpose of the Company, in relation to the transactions which are the subject of the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best of my knowledge and belief, having made due inquiry, the Company is not the subject of legal, arbitral, administrative or other proceedings in any jurisdiction material to the matters addressed in the Opinion and neither the directors nor Shareholders have taken any steps to have the Company struck off or placed in liquidation. Further, no steps have been taken to wind up the Company or to appoint restructuring officers or interim restructuring officers, and no step has been taken to appoint a receiver in relation to any of the Company’s property or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not a central bank, monetary authority or other sovereign entity of any state and is not a subsidiary, direct or indirect, of any sovereign entity or state.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confirm that you may continue to rely on this certificate as being true and correct on the day that you issue the Opinion unless I shall have previously notified you in writing personally to the contrary.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066"/>
        <w:gridCol w:w="60"/>
        <w:gridCol w:w="2956"/>
      </w:tblGrid>
      <w:tr>
        <w:trPr/>
        <w:tc>
          <w:tcPr>
            <w:tcW w:w="10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r>
      <w:tr>
        <w:trPr/>
        <w:tc>
          <w:tcPr>
            <w:tcW w:w="1066" w:type="dxa"/>
            <w:tcBorders/>
          </w:tcPr>
          <w:p>
            <w:pPr>
              <w:pStyle w:val="TableContents"/>
              <w:bidi w:val="0"/>
              <w:spacing w:before="0" w:after="283"/>
              <w:jc w:val="left"/>
              <w:rPr/>
            </w:pPr>
            <w:r>
              <w:rPr/>
              <w:t>Signature:</w:t>
            </w:r>
          </w:p>
        </w:tc>
        <w:tc>
          <w:tcPr>
            <w:tcW w:w="60" w:type="dxa"/>
            <w:tcBorders/>
            <w:vAlign w:val="bottom"/>
          </w:tcPr>
          <w:p>
            <w:pPr>
              <w:pStyle w:val="TableContents"/>
              <w:bidi w:val="0"/>
              <w:spacing w:before="0" w:after="283"/>
              <w:jc w:val="left"/>
              <w:rPr/>
            </w:pPr>
            <w:r>
              <w:rPr/>
              <w:t> </w:t>
            </w:r>
          </w:p>
        </w:tc>
        <w:tc>
          <w:tcPr>
            <w:tcW w:w="295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Feng-Ming Wang</w:t>
            </w:r>
          </w:p>
        </w:tc>
      </w:tr>
      <w:tr>
        <w:trPr>
          <w:trHeight w:val="240" w:hRule="atLeast"/>
        </w:trPr>
        <w:tc>
          <w:tcPr>
            <w:tcW w:w="1066" w:type="dxa"/>
            <w:tcBorders/>
            <w:vAlign w:val="center"/>
          </w:tcPr>
          <w:p>
            <w:pPr>
              <w:pStyle w:val="TableContents"/>
              <w:bidi w:val="0"/>
              <w:spacing w:before="0" w:after="283"/>
              <w:jc w:val="left"/>
              <w:rPr>
                <w:sz w:val="4"/>
                <w:szCs w:val="4"/>
              </w:rPr>
            </w:pPr>
            <w:r>
              <w:rPr>
                <w:sz w:val="4"/>
                <w:szCs w:val="4"/>
              </w:rPr>
            </w:r>
          </w:p>
        </w:tc>
        <w:tc>
          <w:tcPr>
            <w:tcW w:w="3016" w:type="dxa"/>
            <w:gridSpan w:val="2"/>
            <w:tcBorders/>
            <w:vAlign w:val="center"/>
          </w:tcPr>
          <w:p>
            <w:pPr>
              <w:pStyle w:val="TableContents"/>
              <w:bidi w:val="0"/>
              <w:spacing w:before="0" w:after="283"/>
              <w:jc w:val="left"/>
              <w:rPr>
                <w:sz w:val="4"/>
                <w:szCs w:val="4"/>
              </w:rPr>
            </w:pPr>
            <w:r>
              <w:rPr>
                <w:sz w:val="4"/>
                <w:szCs w:val="4"/>
              </w:rPr>
            </w:r>
          </w:p>
        </w:tc>
      </w:tr>
      <w:tr>
        <w:trPr/>
        <w:tc>
          <w:tcPr>
            <w:tcW w:w="106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56" w:type="dxa"/>
            <w:tcBorders/>
          </w:tcPr>
          <w:p>
            <w:pPr>
              <w:pStyle w:val="TableContents"/>
              <w:bidi w:val="0"/>
              <w:spacing w:before="0" w:after="283"/>
              <w:jc w:val="left"/>
              <w:rPr/>
            </w:pPr>
            <w:r>
              <w:rPr/>
              <w:t>Feng-Ming Wang</w:t>
            </w:r>
          </w:p>
        </w:tc>
      </w:tr>
      <w:tr>
        <w:trPr>
          <w:trHeight w:val="240" w:hRule="atLeast"/>
        </w:trPr>
        <w:tc>
          <w:tcPr>
            <w:tcW w:w="1066" w:type="dxa"/>
            <w:tcBorders/>
            <w:vAlign w:val="center"/>
          </w:tcPr>
          <w:p>
            <w:pPr>
              <w:pStyle w:val="TableContents"/>
              <w:bidi w:val="0"/>
              <w:spacing w:before="0" w:after="283"/>
              <w:jc w:val="left"/>
              <w:rPr>
                <w:sz w:val="4"/>
                <w:szCs w:val="4"/>
              </w:rPr>
            </w:pPr>
            <w:r>
              <w:rPr>
                <w:sz w:val="4"/>
                <w:szCs w:val="4"/>
              </w:rPr>
            </w:r>
          </w:p>
        </w:tc>
        <w:tc>
          <w:tcPr>
            <w:tcW w:w="3016" w:type="dxa"/>
            <w:gridSpan w:val="2"/>
            <w:tcBorders/>
            <w:vAlign w:val="center"/>
          </w:tcPr>
          <w:p>
            <w:pPr>
              <w:pStyle w:val="TableContents"/>
              <w:bidi w:val="0"/>
              <w:spacing w:before="0" w:after="283"/>
              <w:jc w:val="left"/>
              <w:rPr>
                <w:sz w:val="4"/>
                <w:szCs w:val="4"/>
              </w:rPr>
            </w:pPr>
            <w:r>
              <w:rPr>
                <w:sz w:val="4"/>
                <w:szCs w:val="4"/>
              </w:rPr>
            </w:r>
          </w:p>
        </w:tc>
      </w:tr>
      <w:tr>
        <w:trPr/>
        <w:tc>
          <w:tcPr>
            <w:tcW w:w="106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56"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p>
      <w:pPr>
        <w:pStyle w:val="TextBody"/>
        <w:bidi w:val="0"/>
        <w:spacing w:before="0" w:after="0"/>
        <w:jc w:val="right"/>
        <w:rPr>
          <w:rFonts w:ascii="Times New Roman" w:hAnsi="Times New Roman"/>
          <w:b/>
          <w:sz w:val="20"/>
        </w:rPr>
      </w:pPr>
      <w:bookmarkStart w:id="5" w:name="d136782dex231.htm"/>
      <w:bookmarkStart w:id="6" w:name="ksd136782dex231"/>
      <w:bookmarkEnd w:id="5"/>
      <w:bookmarkEnd w:id="6"/>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S-8 of Ambarella, Inc. of our report dated March 23, 2026 relating to the financial statements and the effectiveness of internal control over financial reporting, which appears in Ambarella Inc.’s Annual Report on Form 10-K for the year ended January 31,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060"/>
        <w:gridCol w:w="120"/>
        <w:gridCol w:w="25"/>
      </w:tblGrid>
      <w:tr>
        <w:trPr/>
        <w:tc>
          <w:tcPr>
            <w:tcW w:w="100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r>
      <w:tr>
        <w:trPr/>
        <w:tc>
          <w:tcPr>
            <w:tcW w:w="10060" w:type="dxa"/>
            <w:tcBorders/>
          </w:tcPr>
          <w:p>
            <w:pPr>
              <w:pStyle w:val="TableContents"/>
              <w:bidi w:val="0"/>
              <w:spacing w:before="0" w:after="283"/>
              <w:jc w:val="left"/>
              <w:rPr/>
            </w:pPr>
            <w:r>
              <w:rPr/>
              <w:t>/s/ PricewaterhouseCoopers LLP</w:t>
            </w:r>
          </w:p>
        </w:tc>
        <w:tc>
          <w:tcPr>
            <w:tcW w:w="120" w:type="dxa"/>
            <w:tcBorders/>
            <w:vAlign w:val="bottom"/>
          </w:tcPr>
          <w:p>
            <w:pPr>
              <w:pStyle w:val="TableContents"/>
              <w:bidi w:val="0"/>
              <w:spacing w:before="0" w:after="283"/>
              <w:jc w:val="left"/>
              <w:rPr/>
            </w:pPr>
            <w:r>
              <w:rPr/>
              <w:t>  </w:t>
            </w:r>
          </w:p>
        </w:tc>
        <w:tc>
          <w:tcPr>
            <w:tcW w:w="25" w:type="dxa"/>
            <w:tcBorders/>
          </w:tcPr>
          <w:p>
            <w:pPr>
              <w:pStyle w:val="TableContents"/>
              <w:bidi w:val="0"/>
              <w:spacing w:before="0" w:after="283"/>
              <w:jc w:val="left"/>
              <w:rPr>
                <w:sz w:val="4"/>
                <w:szCs w:val="4"/>
              </w:rPr>
            </w:pPr>
            <w:r>
              <w:rPr>
                <w:sz w:val="4"/>
                <w:szCs w:val="4"/>
              </w:rPr>
            </w:r>
          </w:p>
        </w:tc>
      </w:tr>
      <w:tr>
        <w:trPr/>
        <w:tc>
          <w:tcPr>
            <w:tcW w:w="10060" w:type="dxa"/>
            <w:tcBorders/>
          </w:tcPr>
          <w:p>
            <w:pPr>
              <w:pStyle w:val="TableContents"/>
              <w:bidi w:val="0"/>
              <w:spacing w:before="0" w:after="283"/>
              <w:jc w:val="left"/>
              <w:rPr/>
            </w:pPr>
            <w:r>
              <w:rPr/>
              <w:t>San Jose, California</w:t>
            </w:r>
          </w:p>
        </w:tc>
        <w:tc>
          <w:tcPr>
            <w:tcW w:w="120" w:type="dxa"/>
            <w:tcBorders/>
            <w:vAlign w:val="bottom"/>
          </w:tcPr>
          <w:p>
            <w:pPr>
              <w:pStyle w:val="TableContents"/>
              <w:bidi w:val="0"/>
              <w:spacing w:before="0" w:after="283"/>
              <w:jc w:val="left"/>
              <w:rPr/>
            </w:pPr>
            <w:r>
              <w:rPr/>
              <w:t>  </w:t>
            </w:r>
          </w:p>
        </w:tc>
        <w:tc>
          <w:tcPr>
            <w:tcW w:w="25" w:type="dxa"/>
            <w:tcBorders/>
          </w:tcPr>
          <w:p>
            <w:pPr>
              <w:pStyle w:val="TableContents"/>
              <w:bidi w:val="0"/>
              <w:spacing w:before="0" w:after="283"/>
              <w:jc w:val="left"/>
              <w:rPr>
                <w:sz w:val="4"/>
                <w:szCs w:val="4"/>
              </w:rPr>
            </w:pPr>
            <w:r>
              <w:rPr>
                <w:sz w:val="4"/>
                <w:szCs w:val="4"/>
              </w:rPr>
            </w:r>
          </w:p>
        </w:tc>
      </w:tr>
      <w:tr>
        <w:trPr/>
        <w:tc>
          <w:tcPr>
            <w:tcW w:w="10060" w:type="dxa"/>
            <w:tcBorders/>
          </w:tcPr>
          <w:p>
            <w:pPr>
              <w:pStyle w:val="TableContents"/>
              <w:bidi w:val="0"/>
              <w:spacing w:before="0" w:after="283"/>
              <w:jc w:val="left"/>
              <w:rPr/>
            </w:pPr>
            <w:r>
              <w:rPr/>
              <w:t>August 3, 2026</w:t>
            </w:r>
          </w:p>
        </w:tc>
        <w:tc>
          <w:tcPr>
            <w:tcW w:w="120" w:type="dxa"/>
            <w:tcBorders/>
            <w:vAlign w:val="bottom"/>
          </w:tcPr>
          <w:p>
            <w:pPr>
              <w:pStyle w:val="TableContents"/>
              <w:bidi w:val="0"/>
              <w:spacing w:before="0" w:after="283"/>
              <w:jc w:val="left"/>
              <w:rPr/>
            </w:pPr>
            <w:r>
              <w:rPr/>
              <w:t>  </w:t>
            </w:r>
          </w:p>
        </w:tc>
        <w:tc>
          <w:tcPr>
            <w:tcW w:w="25" w:type="dxa"/>
            <w:tcBorders/>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bookmarkStart w:id="7" w:name="d136782dexfilingfees.htm"/>
      <w:bookmarkStart w:id="8" w:name="ksd136782dexfilingfees"/>
      <w:bookmarkStart w:id="9" w:name="d136782dexfilingfees.htm"/>
      <w:bookmarkStart w:id="10" w:name="ksd136782dexfilingfees"/>
      <w:bookmarkEnd w:id="9"/>
      <w:bookmarkEnd w:id="10"/>
      <w:r>
        <w:br w:type="page"/>
      </w:r>
    </w:p>
    <w:tbl>
      <w:tblPr>
        <w:tblW w:w="3570" w:type="dxa"/>
        <w:jc w:val="left"/>
        <w:tblInd w:w="0" w:type="dxa"/>
        <w:tblLayout w:type="fixed"/>
        <w:tblCellMar>
          <w:top w:w="28" w:type="dxa"/>
          <w:left w:w="28" w:type="dxa"/>
          <w:bottom w:w="28" w:type="dxa"/>
          <w:right w:w="28" w:type="dxa"/>
        </w:tblCellMar>
      </w:tblPr>
      <w:tblGrid>
        <w:gridCol w:w="3416"/>
        <w:gridCol w:w="154"/>
      </w:tblGrid>
      <w:tr>
        <w:trPr/>
        <w:tc>
          <w:tcPr>
            <w:tcW w:w="357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6"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6" w:type="dxa"/>
            <w:tcBorders/>
            <w:vAlign w:val="center"/>
          </w:tcPr>
          <w:p>
            <w:pPr>
              <w:pStyle w:val="TableContents"/>
              <w:bidi w:val="0"/>
              <w:spacing w:before="0" w:after="283"/>
              <w:jc w:val="left"/>
              <w:rPr>
                <w:b/>
              </w:rPr>
            </w:pPr>
            <w:r>
              <w:rPr>
                <w:b/>
              </w:rPr>
              <w:t xml:space="preserve">AMBARELLA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69" w:type="dxa"/>
        <w:jc w:val="left"/>
        <w:tblInd w:w="0" w:type="dxa"/>
        <w:tblLayout w:type="fixed"/>
        <w:tblCellMar>
          <w:top w:w="28" w:type="dxa"/>
          <w:left w:w="28" w:type="dxa"/>
          <w:bottom w:w="28" w:type="dxa"/>
          <w:right w:w="28" w:type="dxa"/>
        </w:tblCellMar>
      </w:tblPr>
      <w:tblGrid>
        <w:gridCol w:w="241"/>
        <w:gridCol w:w="946"/>
        <w:gridCol w:w="1156"/>
        <w:gridCol w:w="1276"/>
        <w:gridCol w:w="1186"/>
        <w:gridCol w:w="1156"/>
        <w:gridCol w:w="1786"/>
        <w:gridCol w:w="1126"/>
        <w:gridCol w:w="1396"/>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5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9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156" w:type="dxa"/>
            <w:tcBorders/>
            <w:shd w:fill="E7E7E2" w:val="clear"/>
            <w:vAlign w:val="center"/>
          </w:tcPr>
          <w:p>
            <w:pPr>
              <w:pStyle w:val="TableContents"/>
              <w:bidi w:val="0"/>
              <w:spacing w:before="0" w:after="283"/>
              <w:jc w:val="left"/>
              <w:rPr/>
            </w:pPr>
            <w:r>
              <w:rPr/>
              <w:t xml:space="preserve">Ordinary shares, $0.00045 par value per share, reserved for issuance pursuant to the Ambarella, Inc. Amended and Restated 2021 Equity Incentive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2,750,000 </w:t>
            </w:r>
          </w:p>
        </w:tc>
        <w:tc>
          <w:tcPr>
            <w:tcW w:w="1156" w:type="dxa"/>
            <w:tcBorders/>
            <w:shd w:fill="E7E7E2" w:val="clear"/>
            <w:vAlign w:val="center"/>
          </w:tcPr>
          <w:p>
            <w:pPr>
              <w:pStyle w:val="TableContents"/>
              <w:bidi w:val="0"/>
              <w:spacing w:before="0" w:after="283"/>
              <w:jc w:val="right"/>
              <w:rPr/>
            </w:pPr>
            <w:r>
              <w:rPr/>
              <w:t xml:space="preserve">$ 70.64 </w:t>
            </w:r>
          </w:p>
        </w:tc>
        <w:tc>
          <w:tcPr>
            <w:tcW w:w="1786" w:type="dxa"/>
            <w:tcBorders/>
            <w:shd w:fill="E7E7E2" w:val="clear"/>
            <w:vAlign w:val="center"/>
          </w:tcPr>
          <w:p>
            <w:pPr>
              <w:pStyle w:val="TableContents"/>
              <w:bidi w:val="0"/>
              <w:spacing w:before="0" w:after="283"/>
              <w:jc w:val="right"/>
              <w:rPr/>
            </w:pPr>
            <w:r>
              <w:rPr/>
              <w:t xml:space="preserve">$ 194,260,000.00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$ 26,827.31 </w:t>
            </w:r>
          </w:p>
        </w:tc>
      </w:tr>
      <w:tr>
        <w:trPr/>
        <w:tc>
          <w:tcPr>
            <w:tcW w:w="4805" w:type="dxa"/>
            <w:gridSpan w:val="5"/>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11" w:name="MaxAggtOfferingPrice"/>
            <w:bookmarkEnd w:id="11"/>
            <w:r>
              <w:rPr/>
              <w:t xml:space="preserve">$ 194,260,000.00 </w:t>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$ 26,827.31 </w:t>
            </w:r>
          </w:p>
        </w:tc>
      </w:tr>
      <w:tr>
        <w:trPr/>
        <w:tc>
          <w:tcPr>
            <w:tcW w:w="4805" w:type="dxa"/>
            <w:gridSpan w:val="5"/>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805" w:type="dxa"/>
            <w:gridSpan w:val="5"/>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14" w:name="NetFeeAmt"/>
            <w:bookmarkEnd w:id="14"/>
            <w:r>
              <w:rPr/>
              <w:t xml:space="preserve">$ 26,827.31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7"/>
        <w:gridCol w:w="8707"/>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Pursuant to Rule 416(a) of the Securities Act of 1933, as amended, this Registration Statement shall also cover any additional ordinary shares of the Registrant that become issuable under the Ambarella, Inc. Amended and Restated 2021 Equity Incentive Plan ("2021 Plan") by reason of any stock dividend, stock split, recapitalization or any other similar transaction effected without the receipt of consideration which results in an increase in the number of the Registrant's outstanding ordinary shares. The amount registered represents an increase to the number of ordinary shares of the Registrant reserved for future issuance under the 2021 Plan, as approved by the Registrant's shareholders at the Registrant's annual meeting held on June 26, 2026. The proposed maximum offering price per unit is estimated in accordance with Rule 457(c) and (h) solely for purposes of calculating the registration fee on the basis of $70.64, the average of the high and low prices of the Registrant's ordinary shares as reported on the Nasdaq Global Select Market on July 29, 2026.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0001280263/000119312526119321/amba-20260131.htm" TargetMode="External"/><Relationship Id="rId3" Type="http://schemas.openxmlformats.org/officeDocument/2006/relationships/hyperlink" Target="http://www.sec.gov/Archives/edgar/data/../../../ix?doc=/Archives/edgar/data/1280263/000119312526076823/d108529d8k.htm" TargetMode="External"/><Relationship Id="rId4" Type="http://schemas.openxmlformats.org/officeDocument/2006/relationships/hyperlink" Target="http://www.sec.gov/Archives/edgar/data/../../../ix?doc=/Archives/edgar/data/1280263/000119312526083175/d116451d8k.htm" TargetMode="External"/><Relationship Id="rId5" Type="http://schemas.openxmlformats.org/officeDocument/2006/relationships/hyperlink" Target="http://www.sec.gov/Archives/edgar/data/../../../ix?doc=/Archives/edgar/data/0001280263/000119312526292824/d139114d8k.htm" TargetMode="External"/><Relationship Id="rId6" Type="http://schemas.openxmlformats.org/officeDocument/2006/relationships/hyperlink" Target="http://www.sec.gov/Archives/edgar/data/0001280263/000119312512405013/d415394d8a12b.htm" TargetMode="External"/><Relationship Id="rId7" Type="http://schemas.openxmlformats.org/officeDocument/2006/relationships/hyperlink" Target="http://www.sec.gov/Archives/edgar/data/1280263/000119312526292824/d139114dex101.htm" TargetMode="External"/><Relationship Id="rId8" Type="http://schemas.openxmlformats.org/officeDocument/2006/relationships/hyperlink" Target="http://www.sec.gov/Archives/edgar/data/1280263/000119312521335319/d190533dex412.htm" TargetMode="External"/><Relationship Id="rId9" Type="http://schemas.openxmlformats.org/officeDocument/2006/relationships/hyperlink" Target="http://www.sec.gov/Archives/edgar/data/1280263/000119312521335319/d190533dex413.htm" TargetMode="External"/><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4729</Words>
  <Characters>24680</Characters>
  <CharactersWithSpaces>29493</CharactersWithSpaces>
  <Paragraphs>491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