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Ambarella,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3101 JAY STREET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 Be Held On June 12, 2024</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IS HEREBY GIVEN that the Annual Meeting of Shareholders of Ambarella, Inc., a Cayman Islands company, will be held 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Wednesday, June 12, 2024, at 9:00 a.m. Pacific Time at 3101 Jay Street, Santa Clara, CA 95054. The agenda for the meeting is as follows:</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MEETING AGENDA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Board Vote</w:t>
            </w:r>
          </w:p>
        </w:tc>
      </w:tr>
      <w:tr>
        <w:trPr>
          <w:trHeight w:val="187"/>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 No.</w:t>
            </w:r>
          </w:p>
        </w:tc>
        <w:tc>
          <w:tcPr>
            <w:tcW w:w="920" w:type="dxa"/>
            <w:vAlign w:val="bottom"/>
          </w:tcPr>
          <w:p>
            <w:pPr>
              <w:spacing w:after="0"/>
              <w:rPr>
                <w:sz w:val="16"/>
                <w:szCs w:val="16"/>
                <w:color w:val="auto"/>
              </w:rPr>
            </w:pPr>
          </w:p>
        </w:tc>
        <w:tc>
          <w:tcPr>
            <w:tcW w:w="6900" w:type="dxa"/>
            <w:vAlign w:val="bottom"/>
          </w:tcPr>
          <w:p>
            <w:pPr>
              <w:ind w:left="318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740" w:type="dxa"/>
            <w:vAlign w:val="bottom"/>
          </w:tcPr>
          <w:p>
            <w:pPr>
              <w:spacing w:after="0"/>
              <w:rPr>
                <w:sz w:val="16"/>
                <w:szCs w:val="16"/>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      Recommendation    </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9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 elect the Board’s two nominees for Class III director, Hsiao-Wuen Hon and Christopher B.</w:t>
            </w:r>
          </w:p>
        </w:tc>
        <w:tc>
          <w:tcPr>
            <w:tcW w:w="7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each Ambarella</w:t>
            </w:r>
          </w:p>
        </w:tc>
      </w:tr>
      <w:tr>
        <w:trPr>
          <w:trHeight w:val="234"/>
        </w:trPr>
        <w:tc>
          <w:tcPr>
            <w:tcW w:w="800" w:type="dxa"/>
            <w:vAlign w:val="bottom"/>
          </w:tcPr>
          <w:p>
            <w:pPr>
              <w:spacing w:after="0"/>
              <w:rPr>
                <w:sz w:val="20"/>
                <w:szCs w:val="20"/>
                <w:color w:val="auto"/>
              </w:rPr>
            </w:pPr>
          </w:p>
        </w:tc>
        <w:tc>
          <w:tcPr>
            <w:tcW w:w="7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Paisley, to hold office until the 2027 Annual Meeting of Shareholders</w:t>
            </w:r>
          </w:p>
        </w:tc>
        <w:tc>
          <w:tcPr>
            <w:tcW w:w="7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6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 ratify the appointment of PricewaterhouseCoopers LLP as the independent registered public</w:t>
            </w:r>
          </w:p>
        </w:tc>
        <w:tc>
          <w:tcPr>
            <w:tcW w:w="7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r>
      <w:tr>
        <w:trPr>
          <w:trHeight w:val="234"/>
        </w:trPr>
        <w:tc>
          <w:tcPr>
            <w:tcW w:w="800" w:type="dxa"/>
            <w:vAlign w:val="bottom"/>
          </w:tcPr>
          <w:p>
            <w:pPr>
              <w:spacing w:after="0"/>
              <w:rPr>
                <w:sz w:val="20"/>
                <w:szCs w:val="20"/>
                <w:color w:val="auto"/>
              </w:rPr>
            </w:pPr>
          </w:p>
        </w:tc>
        <w:tc>
          <w:tcPr>
            <w:tcW w:w="7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accounting firm of Ambarella, Inc. for the fiscal year ending January 31, 2025</w:t>
            </w: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 approve, on an advisory basis, executive compensation</w:t>
            </w:r>
          </w:p>
        </w:tc>
        <w:tc>
          <w:tcPr>
            <w:tcW w:w="7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 approve an amendment and restatement of the Ambarella, Inc. 2021 Equity Incentive Plan</w:t>
            </w:r>
          </w:p>
        </w:tc>
        <w:tc>
          <w:tcPr>
            <w:tcW w:w="7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r>
    </w:tbl>
    <w:p>
      <w:pPr>
        <w:spacing w:after="0" w:line="19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These items of business are more fully described in the Proxy Statement, which is available at </w:t>
      </w:r>
      <w:r>
        <w:rPr>
          <w:rFonts w:ascii="Times New Roman" w:cs="Times New Roman" w:eastAsia="Times New Roman" w:hAnsi="Times New Roman"/>
          <w:sz w:val="18"/>
          <w:szCs w:val="18"/>
          <w:i w:val="1"/>
          <w:iCs w:val="1"/>
          <w:color w:val="auto"/>
        </w:rPr>
        <w:t>www.edocumentview.com/AMBA</w:t>
      </w:r>
      <w:r>
        <w:rPr>
          <w:rFonts w:ascii="Times New Roman" w:cs="Times New Roman" w:eastAsia="Times New Roman" w:hAnsi="Times New Roman"/>
          <w:sz w:val="18"/>
          <w:szCs w:val="18"/>
          <w:color w:val="auto"/>
        </w:rPr>
        <w:t>. This notice, the Notice of Internet Availability, the Proxy Statement, the 2024 Annual Report, and the form of proxy are being made available to shareholders on or about May 3, 2024. We are providing access to our proxy materials over the Internet under the rules and regulations adopted by the U.S. Securities and Exchange Commission.</w:t>
      </w:r>
    </w:p>
    <w:p>
      <w:pPr>
        <w:spacing w:after="0" w:line="18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record date for the Annual Meeting is April 18, 2024. Only shareholders of record at the close of business on that date may vote at the meeting or any adjournment thereof. We are not aware of any other business to come before the Annual Meeting. You may vote over the Internet, by telephone or by mailing a proxy card. Voting over the Internet, by telephone or by written proxy will ensure your representation at the Annual Meeting if you do not attend in person. Please review the instructions on the proxy card regarding each of these voting options. The Proxy Statement explains proxy voting and the matters to be voted on in more detail. We look forward to your attendance at the Annual Meeting.</w:t>
      </w:r>
    </w:p>
    <w:p>
      <w:pPr>
        <w:spacing w:after="0" w:line="18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1997075"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970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Michael Morehead</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3, 2024</w:t>
      </w:r>
    </w:p>
    <w:p>
      <w:pPr>
        <w:spacing w:after="0" w:line="9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in person. Your vote is important. Whether or not you expect to attend the meeting, please vote your shares as instructed in the Notice of Internet Availability, which is being mailed to you on May 3, 2024, as promptly as possible to ensure your representation at the meeting. Even if you have voted by proxy, you may still vote in person if you attend the meeting. Please note, however, that if your shares are held of record by a broker, bank or other nominee and you wish to vote at the meeting, you must obtain a proxy issued in your name from that record holder.</w:t>
      </w:r>
    </w:p>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00" w:type="dxa"/>
            <w:vAlign w:val="bottom"/>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46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color w:val="0000EE"/>
                <w:w w:val="99"/>
              </w:rPr>
              <w:t>Information Concerning Voting and Solicitation</w:t>
            </w:r>
          </w:p>
        </w:tc>
        <w:tc>
          <w:tcPr>
            <w:tcW w:w="7200" w:type="dxa"/>
            <w:vAlign w:val="bottom"/>
            <w:gridSpan w:val="11"/>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60" w:type="dxa"/>
            <w:vAlign w:val="bottom"/>
            <w:tcBorders>
              <w:bottom w:val="single" w:sz="8" w:color="0000EE"/>
            </w:tcBorders>
            <w:gridSpan w:val="31"/>
            <w:vMerge w:val="continue"/>
          </w:tcPr>
          <w:p>
            <w:pPr>
              <w:spacing w:after="0"/>
              <w:rPr>
                <w:sz w:val="13"/>
                <w:szCs w:val="13"/>
                <w:color w:val="auto"/>
              </w:rPr>
            </w:pPr>
          </w:p>
        </w:tc>
        <w:tc>
          <w:tcPr>
            <w:tcW w:w="7200" w:type="dxa"/>
            <w:vAlign w:val="bottom"/>
            <w:gridSpan w:val="11"/>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General Information About the Annual Meeting</w:t>
            </w:r>
          </w:p>
        </w:tc>
        <w:tc>
          <w:tcPr>
            <w:tcW w:w="7200" w:type="dxa"/>
            <w:vAlign w:val="bottom"/>
            <w:gridSpan w:val="11"/>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Notice of Internet Availability</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Appointment of Proxy Holders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Who Can Vote</w:t>
            </w:r>
          </w:p>
        </w:tc>
        <w:tc>
          <w:tcPr>
            <w:tcW w:w="1140" w:type="dxa"/>
            <w:vAlign w:val="bottom"/>
            <w:tcBorders>
              <w:top w:val="single" w:sz="8" w:color="0000EE"/>
            </w:tcBorders>
            <w:gridSpan w:val="15"/>
          </w:tcPr>
          <w:p>
            <w:pPr>
              <w:spacing w:after="0"/>
              <w:rPr>
                <w:sz w:val="17"/>
                <w:szCs w:val="17"/>
                <w:color w:val="auto"/>
              </w:rPr>
            </w:pPr>
          </w:p>
        </w:tc>
        <w:tc>
          <w:tcPr>
            <w:tcW w:w="808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How You Can Vote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8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7"/>
              </w:rPr>
              <w:t>Matters to be Voted Upon</w:t>
            </w:r>
          </w:p>
        </w:tc>
        <w:tc>
          <w:tcPr>
            <w:tcW w:w="844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Revocation of Proxies</w:t>
            </w:r>
          </w:p>
        </w:tc>
        <w:tc>
          <w:tcPr>
            <w:tcW w:w="870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Required Vote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0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Other Matters Brought Before the Meeting</w:t>
            </w:r>
          </w:p>
        </w:tc>
        <w:tc>
          <w:tcPr>
            <w:tcW w:w="722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Solicitation of Proxies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Voting Results</w:t>
            </w:r>
          </w:p>
        </w:tc>
        <w:tc>
          <w:tcPr>
            <w:tcW w:w="540" w:type="dxa"/>
            <w:vAlign w:val="bottom"/>
            <w:tcBorders>
              <w:top w:val="single" w:sz="8" w:color="0000EE"/>
            </w:tcBorders>
            <w:gridSpan w:val="9"/>
          </w:tcPr>
          <w:p>
            <w:pPr>
              <w:spacing w:after="0"/>
              <w:rPr>
                <w:sz w:val="17"/>
                <w:szCs w:val="17"/>
                <w:color w:val="auto"/>
              </w:rPr>
            </w:pPr>
          </w:p>
        </w:tc>
        <w:tc>
          <w:tcPr>
            <w:tcW w:w="870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Important Notice Regarding Availability of Proxy Materials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Proposal 1: Election of Class III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Vote Required</w:t>
            </w:r>
          </w:p>
        </w:tc>
        <w:tc>
          <w:tcPr>
            <w:tcW w:w="1620" w:type="dxa"/>
            <w:vAlign w:val="bottom"/>
            <w:tcBorders>
              <w:top w:val="single" w:sz="8" w:color="0000EE"/>
            </w:tcBorders>
            <w:gridSpan w:val="23"/>
          </w:tcPr>
          <w:p>
            <w:pPr>
              <w:spacing w:after="0"/>
              <w:rPr>
                <w:sz w:val="17"/>
                <w:szCs w:val="17"/>
                <w:color w:val="auto"/>
              </w:rPr>
            </w:pPr>
          </w:p>
        </w:tc>
        <w:tc>
          <w:tcPr>
            <w:tcW w:w="764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Regarding the Board of Directors and Corporate Governance</w:t>
            </w:r>
          </w:p>
        </w:tc>
        <w:tc>
          <w:tcPr>
            <w:tcW w:w="53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Composition</w:t>
            </w:r>
          </w:p>
        </w:tc>
        <w:tc>
          <w:tcPr>
            <w:tcW w:w="8880" w:type="dxa"/>
            <w:vAlign w:val="bottom"/>
            <w:gridSpan w:val="3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Independence</w:t>
            </w:r>
          </w:p>
        </w:tc>
        <w:tc>
          <w:tcPr>
            <w:tcW w:w="866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Committees</w:t>
            </w:r>
          </w:p>
        </w:tc>
        <w:tc>
          <w:tcPr>
            <w:tcW w:w="600" w:type="dxa"/>
            <w:vAlign w:val="bottom"/>
            <w:tcBorders>
              <w:top w:val="single" w:sz="8" w:color="0000EE"/>
            </w:tcBorders>
            <w:gridSpan w:val="10"/>
          </w:tcPr>
          <w:p>
            <w:pPr>
              <w:spacing w:after="0"/>
              <w:rPr>
                <w:sz w:val="17"/>
                <w:szCs w:val="17"/>
                <w:color w:val="auto"/>
              </w:rPr>
            </w:pPr>
          </w:p>
        </w:tc>
        <w:tc>
          <w:tcPr>
            <w:tcW w:w="832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770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46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Committee Interlocks and Insider Participation</w:t>
            </w:r>
          </w:p>
        </w:tc>
        <w:tc>
          <w:tcPr>
            <w:tcW w:w="58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38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Evaluation of Board and Director Performance</w:t>
            </w:r>
          </w:p>
        </w:tc>
        <w:tc>
          <w:tcPr>
            <w:tcW w:w="692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32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 Skills, Competencies and Experience</w:t>
            </w:r>
          </w:p>
        </w:tc>
        <w:tc>
          <w:tcPr>
            <w:tcW w:w="698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Diversity</w:t>
            </w:r>
          </w:p>
        </w:tc>
        <w:tc>
          <w:tcPr>
            <w:tcW w:w="9140" w:type="dxa"/>
            <w:vAlign w:val="bottom"/>
            <w:gridSpan w:val="3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 Nominations</w:t>
            </w:r>
          </w:p>
        </w:tc>
        <w:tc>
          <w:tcPr>
            <w:tcW w:w="872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Director Voting Policy</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Communications with the Board</w:t>
            </w:r>
          </w:p>
        </w:tc>
        <w:tc>
          <w:tcPr>
            <w:tcW w:w="796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0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Governance Principles and Practices</w:t>
            </w:r>
          </w:p>
        </w:tc>
        <w:tc>
          <w:tcPr>
            <w:tcW w:w="690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Social Responsibility</w:t>
            </w:r>
          </w:p>
        </w:tc>
        <w:tc>
          <w:tcPr>
            <w:tcW w:w="800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8980" w:type="dxa"/>
            <w:vAlign w:val="bottom"/>
            <w:gridSpan w:val="3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20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 for Fiscal Year 2024</w:t>
            </w:r>
          </w:p>
        </w:tc>
        <w:tc>
          <w:tcPr>
            <w:tcW w:w="710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66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Proposal 2: Ratification of Appointment of Independent Registered Public Accounting Firm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2860" w:type="dxa"/>
            <w:vAlign w:val="bottom"/>
            <w:tcBorders>
              <w:top w:val="single" w:sz="8" w:color="0000EE"/>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3400" w:type="dxa"/>
            <w:vAlign w:val="bottom"/>
            <w:tcBorders>
              <w:top w:val="single" w:sz="8" w:color="0000EE"/>
            </w:tcBorders>
            <w:gridSpan w:val="12"/>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Pre-Approval Policies and Procedures</w:t>
            </w:r>
          </w:p>
        </w:tc>
        <w:tc>
          <w:tcPr>
            <w:tcW w:w="756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Vote Required</w:t>
            </w:r>
          </w:p>
        </w:tc>
        <w:tc>
          <w:tcPr>
            <w:tcW w:w="9260" w:type="dxa"/>
            <w:vAlign w:val="bottom"/>
            <w:gridSpan w:val="3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66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Proposal 3: Advisory Vote to Approve Executive Compensation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424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606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86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Committee Report</w:t>
            </w:r>
          </w:p>
        </w:tc>
        <w:tc>
          <w:tcPr>
            <w:tcW w:w="420" w:type="dxa"/>
            <w:vAlign w:val="bottom"/>
            <w:tcBorders>
              <w:top w:val="single" w:sz="8" w:color="0000EE"/>
            </w:tcBorders>
            <w:gridSpan w:val="5"/>
          </w:tcPr>
          <w:p>
            <w:pPr>
              <w:spacing w:after="0"/>
              <w:rPr>
                <w:sz w:val="17"/>
                <w:szCs w:val="17"/>
                <w:color w:val="auto"/>
              </w:rPr>
            </w:pPr>
          </w:p>
        </w:tc>
        <w:tc>
          <w:tcPr>
            <w:tcW w:w="746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Compensation Risk Assessment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gridSpan w:val="10"/>
            <w:shd w:val="clear" w:color="auto" w:fill="0000EE"/>
          </w:tcPr>
          <w:p>
            <w:pPr>
              <w:spacing w:after="0" w:line="20" w:lineRule="exact"/>
              <w:rPr>
                <w:sz w:val="1"/>
                <w:szCs w:val="1"/>
                <w:color w:val="auto"/>
              </w:rPr>
            </w:pPr>
          </w:p>
        </w:tc>
        <w:tc>
          <w:tcPr>
            <w:tcW w:w="600" w:type="dxa"/>
            <w:vAlign w:val="bottom"/>
            <w:gridSpan w:val="8"/>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36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Compensation Table for Fiscal 2024</w:t>
            </w:r>
          </w:p>
        </w:tc>
        <w:tc>
          <w:tcPr>
            <w:tcW w:w="69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Grants of Plan-Based Awards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gridSpan w:val="10"/>
            <w:shd w:val="clear" w:color="auto" w:fill="0000EE"/>
          </w:tcPr>
          <w:p>
            <w:pPr>
              <w:spacing w:after="0" w:line="20" w:lineRule="exact"/>
              <w:rPr>
                <w:sz w:val="1"/>
                <w:szCs w:val="1"/>
                <w:color w:val="auto"/>
              </w:rPr>
            </w:pPr>
          </w:p>
        </w:tc>
        <w:tc>
          <w:tcPr>
            <w:tcW w:w="600" w:type="dxa"/>
            <w:vAlign w:val="bottom"/>
            <w:gridSpan w:val="8"/>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5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Option Exercises and Stock Vested</w:t>
            </w:r>
          </w:p>
        </w:tc>
        <w:tc>
          <w:tcPr>
            <w:tcW w:w="778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Year-End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gridSpan w:val="10"/>
            <w:shd w:val="clear" w:color="auto" w:fill="0000EE"/>
          </w:tcPr>
          <w:p>
            <w:pPr>
              <w:spacing w:after="0" w:line="20" w:lineRule="exact"/>
              <w:rPr>
                <w:sz w:val="1"/>
                <w:szCs w:val="1"/>
                <w:color w:val="auto"/>
              </w:rPr>
            </w:pPr>
          </w:p>
        </w:tc>
        <w:tc>
          <w:tcPr>
            <w:tcW w:w="1840" w:type="dxa"/>
            <w:vAlign w:val="bottom"/>
            <w:gridSpan w:val="23"/>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0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9"/>
              </w:rPr>
              <w:t>Potential Payments upon Termination or Change in Control</w:t>
            </w:r>
          </w:p>
        </w:tc>
        <w:tc>
          <w:tcPr>
            <w:tcW w:w="60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Pay Ratio Disclosure</w:t>
            </w:r>
          </w:p>
        </w:tc>
        <w:tc>
          <w:tcPr>
            <w:tcW w:w="878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7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7"/>
              </w:rPr>
              <w:t>Pay Versus Performance</w:t>
            </w:r>
          </w:p>
        </w:tc>
        <w:tc>
          <w:tcPr>
            <w:tcW w:w="8860" w:type="dxa"/>
            <w:vAlign w:val="bottom"/>
            <w:gridSpan w:val="8"/>
            <w:vMerge w:val="restart"/>
          </w:tcPr>
          <w:p>
            <w:pPr>
              <w:spacing w:after="0"/>
              <w:rPr>
                <w:sz w:val="15"/>
                <w:szCs w:val="15"/>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1760" w:type="dxa"/>
            <w:vAlign w:val="bottom"/>
            <w:tcBorders>
              <w:bottom w:val="single" w:sz="8" w:color="0000EE"/>
            </w:tcBorders>
            <w:gridSpan w:val="5"/>
            <w:vMerge w:val="continue"/>
          </w:tcPr>
          <w:p>
            <w:pPr>
              <w:spacing w:after="0"/>
              <w:rPr>
                <w:sz w:val="13"/>
                <w:szCs w:val="13"/>
                <w:color w:val="auto"/>
              </w:rPr>
            </w:pPr>
          </w:p>
        </w:tc>
        <w:tc>
          <w:tcPr>
            <w:tcW w:w="8860" w:type="dxa"/>
            <w:vAlign w:val="bottom"/>
            <w:gridSpan w:val="8"/>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Equity Compensation Plan Information</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574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0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4: Approval of Amendment to the Ambarella, Inc. 2021 Equity Incentive Plan</w:t>
            </w:r>
          </w:p>
        </w:tc>
        <w:tc>
          <w:tcPr>
            <w:tcW w:w="4320" w:type="dxa"/>
            <w:vAlign w:val="bottom"/>
            <w:gridSpan w:val="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Shareholder Proposals for the 2025 Annual Meeting of Shareholders</w:t>
            </w:r>
          </w:p>
        </w:tc>
        <w:tc>
          <w:tcPr>
            <w:tcW w:w="568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822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96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Important Notice Regarding the Availability of Proxy Materials for the Annual Meeting of Shareholders To Be Held on June 12, 2024</w:t>
            </w:r>
          </w:p>
        </w:tc>
        <w:tc>
          <w:tcPr>
            <w:tcW w:w="98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10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Annex A</w:t>
            </w:r>
          </w:p>
        </w:tc>
        <w:tc>
          <w:tcPr>
            <w:tcW w:w="340" w:type="dxa"/>
            <w:vAlign w:val="bottom"/>
            <w:tcBorders>
              <w:top w:val="single" w:sz="8" w:color="0000EE"/>
            </w:tcBorders>
          </w:tcPr>
          <w:p>
            <w:pPr>
              <w:spacing w:after="0"/>
              <w:rPr>
                <w:sz w:val="17"/>
                <w:szCs w:val="17"/>
                <w:color w:val="auto"/>
              </w:rPr>
            </w:pPr>
          </w:p>
        </w:tc>
        <w:tc>
          <w:tcPr>
            <w:tcW w:w="962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82"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3101 Jay Street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2024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CONCERNING VOTING AND SOLICITATION</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solicitation of proxies by the Board of Directors of Ambarella, Inc., a Cayman Islands company (the “Board”), and pursuant to the rules and regulations adopted by the U.S. Securities and Exchange Commission, we are furnishing our proxy materials to shareholders for use at our 2024 Annual Meeting of Shareholders (the “Annual Meeting”), and any adjournments or postponements thereof. The Annual Meeting will be held on Wednesday, June 12, 2024, at 9:00 a.m. Pacific Time at our offices located at 3101 Jay Street, Santa Clara, CA 95054.</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have mailed the Notice of Internet Availability to all shareholders and beneficial owners of record as of the record date, April 18, 2024. All shareholders will have the ability to access the proxy materials via the Internet, including this Proxy Statement and our 2024 Annual Report to Shareholders for the fiscal year ended January 31, 2024. The Notice of Internet Availability includes information on how to access the proxy materials, how to submit your vote over the Internet or by phone or how to request a paper copy of the proxy materials. This Proxy Statement and our 2024 Annual Report to Shareholders are available at </w:t>
      </w:r>
      <w:r>
        <w:rPr>
          <w:rFonts w:ascii="Times New Roman" w:cs="Times New Roman" w:eastAsia="Times New Roman" w:hAnsi="Times New Roman"/>
          <w:sz w:val="18"/>
          <w:szCs w:val="18"/>
          <w:i w:val="1"/>
          <w:iCs w:val="1"/>
          <w:color w:val="auto"/>
        </w:rPr>
        <w:t>www.edocumentview.com/AMBA</w:t>
      </w:r>
      <w:r>
        <w:rPr>
          <w:rFonts w:ascii="Times New Roman" w:cs="Times New Roman" w:eastAsia="Times New Roman" w:hAnsi="Times New Roman"/>
          <w:sz w:val="18"/>
          <w:szCs w:val="18"/>
          <w:color w:val="auto"/>
        </w:rPr>
        <w:t xml:space="preserve">. If you are a shareholder of record, you also may view these materials at </w:t>
      </w:r>
      <w:r>
        <w:rPr>
          <w:rFonts w:ascii="Times New Roman" w:cs="Times New Roman" w:eastAsia="Times New Roman" w:hAnsi="Times New Roman"/>
          <w:sz w:val="18"/>
          <w:szCs w:val="18"/>
          <w:i w:val="1"/>
          <w:iCs w:val="1"/>
          <w:color w:val="auto"/>
        </w:rPr>
        <w:t>http://www.envisionreports.com/AMBA.</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References to “the Company,” “Ambarella,” “we,” “us” or “our” throughout this Proxy Statement mean Ambarella, Inc.</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of Internet Availability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Instead of mailing a paper copy of our proxy materials, we have provided access to our proxy materials over the Internet, which are available at </w:t>
      </w:r>
      <w:r>
        <w:rPr>
          <w:rFonts w:ascii="Times New Roman" w:cs="Times New Roman" w:eastAsia="Times New Roman" w:hAnsi="Times New Roman"/>
          <w:sz w:val="18"/>
          <w:szCs w:val="18"/>
          <w:i w:val="1"/>
          <w:iCs w:val="1"/>
          <w:color w:val="auto"/>
        </w:rPr>
        <w:t>www.edocumentview.com/AMBA</w:t>
      </w:r>
      <w:r>
        <w:rPr>
          <w:rFonts w:ascii="Times New Roman" w:cs="Times New Roman" w:eastAsia="Times New Roman" w:hAnsi="Times New Roman"/>
          <w:sz w:val="18"/>
          <w:szCs w:val="18"/>
          <w:color w:val="auto"/>
        </w:rPr>
        <w:t>. If you are a shareholder of record, you also may view these materials at</w:t>
      </w:r>
      <w:r>
        <w:rPr>
          <w:rFonts w:ascii="Times New Roman" w:cs="Times New Roman" w:eastAsia="Times New Roman" w:hAnsi="Times New Roman"/>
          <w:sz w:val="18"/>
          <w:szCs w:val="18"/>
          <w:i w:val="1"/>
          <w:iCs w:val="1"/>
          <w:color w:val="auto"/>
        </w:rPr>
        <w:t xml:space="preserve"> http://www.envisionreports.com/AMBA</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rules and regulations adopted by the U.S. Securities and Exchange Commission, the Notice of Internet Availability has been sent to our shareholders of record and beneficial owners as of the record date, April 18, 2024. The Notice of Internet Availability includes information on how to access the proxy materials, how to submit your vote via the Internet and how to request a paper copy of the proxy materials. By accessing the proxy materials on the Internet or choosing to receive your future proxy materials by email, you will save us the cost of printing and mailing documents to you and will reduce the impact of our annual meeting of shareholders on the environment.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Appointment of Proxy Holders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Board asks you to appoint Feng-Ming (Fermi) Wang, John A. Young and Michael Morehead as your proxy holders to vote your shares at the Annual Meeting. You make this appointment by voting your shares by proxy, as instructed in the Notice of Internet Availability.</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appointed by you, the proxy holders will vote your shares as you direct on the matters described in this Proxy Statement. In the absence of your direction, they will vote your shares as recommended by the Board.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Unless you otherwise indicate, you also authorize your proxy holders to vote your shares on any matters not known by the Board at the time this Proxy Statement was made available to shareholders and which may be properly presented for action at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Only shareholders of record at the close of business on April 18, 2024 will be entitled to vote at the Annual Meeting. On this record date, there were 40,984,855 ordinary shares outstanding and entitled to vote. Each holder of ordinary shares is entitled to one vote for each share held as of April 18, 2024. There is no cumulative voting in the election of directors.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Shareholder of Record: Shares Registered in Your Name</w:t>
      </w:r>
    </w:p>
    <w:p>
      <w:pPr>
        <w:spacing w:after="0" w:line="119"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on April 18, 2024, your shares were registered directly in your name with Ambarella’s transfer agent, Computershare Trust Company, N.A., then you are a shareholder of record. As a shareholder of record, you may vote in person at the Annual Meeting or vote by proxy. Whether or not you plan to attend the Annual Meeting, we urge you to vote your shares by proxy over the Internet, by telephone, or by mail as instructed in the Notice of Internet Availability to ensure your vote is counted if you later decide not to attend the Annual Meeting.</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on April 18, 2024, your shares were held not in your name, but rather in an account at a brokerage firm, bank, dealer, or other similar organization, then you are the beneficial owner of shares held in “street name” and the Proxy Statement is being forwarded to you by that organization. The organization holding your account is considered to be the shareholder of record for purposes of voting at the Annual Meeting. As a beneficial owner, you have the right to direct your broker or other agent regarding how to vote the shares in your account. You are also invited to attend the Annual Meeting. However, since you are not the shareholder of record, you may not vote your shares in person at the meeting unless you request and obtain a valid proxy from your broker or other agent.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You may either vote “For” the nominees for Class III Director or you may “Withhold” your vote for the nominees. For proposals 2, 3 and 4, you may vote “For” or “Against” or abstain from voting.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Shareholder of Record: Shares Registered in Your Name</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you may vote in person at the Annual Meeting, vote by proxy over the Internet, by telephone or by mail, as instructed in the Notice of Internet Availability. Whether or not you plan to attend the Annual Meeting, we urge you to vote by proxy to ensure your vote is counted. You may still attend the meeting and vote in person even if you have already voted by proxy.</w:t>
      </w:r>
    </w:p>
    <w:p>
      <w:pPr>
        <w:spacing w:after="0" w:line="8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person, come to the Annual Meeting and we will give you a ballot when you arrive.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1-800-652-8683 using a touch-tone phone and follow the recorded instructions. You will be asked to provide the company number and control number from the proxy card. Your vote must be received by 11:59 p.m. Eastern Time on June 11, 2024 to be counted.</w:t>
      </w:r>
    </w:p>
    <w:p>
      <w:pPr>
        <w:spacing w:after="0" w:line="79" w:lineRule="exact"/>
        <w:rPr>
          <w:rFonts w:ascii="Times New Roman" w:cs="Times New Roman" w:eastAsia="Times New Roman" w:hAnsi="Times New Roman"/>
          <w:sz w:val="18"/>
          <w:szCs w:val="18"/>
          <w:color w:val="auto"/>
        </w:rPr>
      </w:pPr>
    </w:p>
    <w:p>
      <w:pPr>
        <w:ind w:left="1080" w:right="620" w:hanging="424"/>
        <w:spacing w:after="0" w:line="284"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http://www.envisionreports.com/AMBA</w:t>
      </w:r>
      <w:r>
        <w:rPr>
          <w:rFonts w:ascii="Times New Roman" w:cs="Times New Roman" w:eastAsia="Times New Roman" w:hAnsi="Times New Roman"/>
          <w:sz w:val="18"/>
          <w:szCs w:val="18"/>
          <w:color w:val="auto"/>
        </w:rPr>
        <w:t xml:space="preserve"> to complete an electronic proxy card. Your vote must be received by 11:59 p.m. Eastern Time on June 11, 2024 to be counted.</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2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(if you requested paper copies of the proxy materials to be mailed to you), simply complete, sign and date the proxy card and return it promptly in the envelope to be provided. If you return your signed proxy card to us before the Annual Meeting, we will vote your shares as you direct.</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receive voting instructions from that organization rather than from Ambarella. You must follow the voting instructions provided by your broker, bank or other agent in order to direct your broker, bank or other agent on how to vote your shares. You should generally be able to vote by returning a voting instruction form, or by telephone or on the Internet. However, the availability of telephone and Internet voting will depend on the voting process of your broker, bank or other agent. To vote in person at the Annual Meeting, you must obtain a valid proxy from your broker, bank, or other agent. Follow the instructions from your broker or bank, or contact your broker or bank to request a proxy form.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Matters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four matters scheduled for a vote at the Annual Meeting:</w:t>
      </w:r>
    </w:p>
    <w:p>
      <w:pPr>
        <w:spacing w:after="0" w:line="131" w:lineRule="exact"/>
        <w:rPr>
          <w:sz w:val="20"/>
          <w:szCs w:val="20"/>
          <w:color w:val="auto"/>
        </w:rPr>
      </w:pPr>
    </w:p>
    <w:p>
      <w:pPr>
        <w:ind w:left="1080" w:right="4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two (2) directors named as nominees for Class III director in this Proxy Statement to hold office until the 2027 Annual Meeting of Shareholders;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PricewaterhouseCoopers LLP as the Company’s independent registered public accounting firm for the fiscal year ending January 31,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executive compensation, as described in this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and restatement of the Ambarella, Inc. 2021 Equity Incentive Plan, as described in this Proxy Statement.</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you are a shareholder of record and you vote via the Internet, by telephone or return a proxy card by mail, but do not select a voting preference, the persons who are authorized to vote your shares will vote:</w:t>
      </w:r>
    </w:p>
    <w:p>
      <w:pPr>
        <w:spacing w:after="0" w:line="63"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each of the two (2) nominees for Class III director named herein to hold office until the 2027 Annual Meeting of Shareholders;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as the Company’s independent registered public accounting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fiscal year ending January 31, 2025;</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an advisory basis, of executive compensation, as described in this Proxy Statement; and</w:t>
      </w:r>
    </w:p>
    <w:p>
      <w:pPr>
        <w:spacing w:after="0" w:line="134"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an amendment and restatement of the Ambarella, Inc. 2021 Equity Incentive Plan, as described in this Proxy Statement.</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follow the voting instructions provided by your broker, bank other agent in order to instruct your broker, bank or other agent how to vote your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Shareholders of record can revoke their proxies at any time before they are exercised in any of three ways:</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in person at the Annual Meeting;</w:t>
      </w:r>
    </w:p>
    <w:p>
      <w:pPr>
        <w:spacing w:after="0" w:line="130" w:lineRule="exact"/>
        <w:rPr>
          <w:rFonts w:ascii="Times New Roman" w:cs="Times New Roman" w:eastAsia="Times New Roman" w:hAnsi="Times New Roman"/>
          <w:sz w:val="18"/>
          <w:szCs w:val="18"/>
          <w:color w:val="auto"/>
        </w:rPr>
      </w:pPr>
    </w:p>
    <w:p>
      <w:pPr>
        <w:ind w:left="5580" w:right="2320" w:hanging="4924"/>
        <w:spacing w:after="0" w:line="454" w:lineRule="auto"/>
        <w:tabs>
          <w:tab w:leader="none" w:pos="10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written notice of revocation to the Secretary of the Company prior to the Annual Meeting; or 3</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properly executed proxy of a later date prior to the Annual Meeting.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Beneficial owners of shares held in street name must contact their broker, bank or other agent to revoke any prior voting instructions.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Directors are elected by a plurality vote, which means that the two (2) nominees for Class III director receiving the most affirmative votes will be elected. All other matters submitted for shareholder approval require the affirmative vote of the majority of shares present in person or represented by proxy and entitled to vote.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quorum of shareholders is necessary to hold a valid Annual Meeting. A quorum will be present if shareholders holding at least a majority of the outstanding shares entitled to vote are present at the meeting in person or represented by proxy. On the record date, there were 40,984,855 shares outstanding and entitled to vote. As a result, shareholders holding at least 20,492,428 shares will need to be present at the meeting in person or represented by proxy to constitute a quorum. Your shares will be counted towards the quorum only if you submit a valid proxy (or one is submitted on your behalf by your broker, bank or other nominee) over the Internet, by telephone, by mail or if you attend the Annual Meeting in person. Abstentions and broker non-votes will be counted towards the quorum requirement. If there is no quorum, then either the chairman of the meeting or the holders of a majority of shares present at the meeting in person or represented by proxy may adjourn the meeting to another date.</w:t>
      </w:r>
    </w:p>
    <w:p>
      <w:pPr>
        <w:spacing w:after="0" w:line="18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Abstentions on any matters are treated as shares present or represented and entitled to vote on that matter and have the same effect as a vote “against” such matter.</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your shares are held in street name and you do not instruct your broker on how to vote your shares, your broker, in its discretion, may either leave your shares unvoted or vote your shares on routine matters. Only Proposal 2 (ratifying the appointment of our independent registered public accounting firm) is considered a routine matter. Proposal 1 (election of directors), Proposal 3 (advisory vote on executive compensation) and Proposal 4 (approval of an amendment and restatement of the 2021 Equity Incentive Plan) are not considered routine matters, and without your instruction, your broker cannot vote your shares as to those proposals. If your broker returns a proxy but does not vote your shares, this results in a “broker non-vote.” Broker non-votes will be counted as present for the purpose of determining a quorum. However, as brokers do not have discretionary authority to vote on Proposal 1, Proposal 3 or Proposal 4, broker non-votes will not be counted for the purpose of determining the number of votes cast on such proposals.</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with respect to the election of directors, “For” and “Withhold” votes and, with respect to other proposals, votes “For” and “Against,” abstentions and, if applicable, broker non-votes. Abstentions will be counted towards the vote total for Proposal 2, Proposal 3 and Proposal 4, and will have the same effect as “Against” votes. Broker non-votes, although counted toward the quorum requirement, will not be counted towards the vote total for any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 Brought Before the Meeting</w:t>
      </w:r>
    </w:p>
    <w:p>
      <w:pPr>
        <w:spacing w:after="0" w:line="12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will pay for the entire cost of soliciting proxies. In addition to these proxy materials, the Company’s directors and employees may also solicit proxies in person, by telephone, or by other means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82"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communication. Directors and employees will not be paid any additional compensation for soliciting proxies. We also may reimburse brokerage firms, banks and other agents for the cost of forwarding proxy materials to beneficial owners.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the Company expects to file within four business days after the Annual Meeting. If final voting results are not available in time to file a Form 8-K within four business days after the meeting, the Company intends to file a Form 8-K to publish preliminary results and, within four business days after the final results are known, file an additional Form 8-K to publish the final results.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Important Notice Regarding Availability of Proxy Materials</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Proxy Statement and our 2024 Annual Report to Shareholders are available at </w:t>
      </w:r>
      <w:r>
        <w:rPr>
          <w:rFonts w:ascii="Times New Roman" w:cs="Times New Roman" w:eastAsia="Times New Roman" w:hAnsi="Times New Roman"/>
          <w:sz w:val="18"/>
          <w:szCs w:val="18"/>
          <w:b w:val="1"/>
          <w:bCs w:val="1"/>
          <w:i w:val="1"/>
          <w:iCs w:val="1"/>
          <w:color w:val="auto"/>
        </w:rPr>
        <w:t>www.edocumentview.com/AMBA</w:t>
      </w:r>
      <w:r>
        <w:rPr>
          <w:rFonts w:ascii="Times New Roman" w:cs="Times New Roman" w:eastAsia="Times New Roman" w:hAnsi="Times New Roman"/>
          <w:sz w:val="18"/>
          <w:szCs w:val="18"/>
          <w:b w:val="1"/>
          <w:bCs w:val="1"/>
          <w:color w:val="auto"/>
        </w:rPr>
        <w:t>. Please promptly vote your shares as instructed in the Notice of Internet Availability. This will not limit your rights to attend or vote at the Annual Meeting.</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ELECTION OF CLASS III DIRECTORS</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Ambarella’s Board of Directors (the “Board”) currently has nine (9) members. The authorized number of directors may be changed by resolution of the Board. Vacancies on the Board may be filled only by a majority of the remaining directors even if less than a quorum, unless the Board determines that the vacancies shall be filled by the shareholders. A director elected to fill a vacancy in a class, including vacancies created by an increase in the number of directors, shall serve for the remainder of the full term of that class and until the director’s successor is duly elected and qualified.</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is divided into three classes, Class I, Class II and Class III, which serve staggered three-year terms:</w:t>
      </w:r>
    </w:p>
    <w:p>
      <w:pPr>
        <w:spacing w:after="0" w:line="131" w:lineRule="exact"/>
        <w:rPr>
          <w:sz w:val="20"/>
          <w:szCs w:val="20"/>
          <w:color w:val="auto"/>
        </w:rPr>
      </w:pPr>
    </w:p>
    <w:p>
      <w:pPr>
        <w:ind w:left="1080" w:right="1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are Anne De Greef-Safft, Dr. Chenming C. Hu and Dr. Feng-Ming (“Fermi”) Wang and their current terms will expire at the annual meeting of shareholders to be held in 2025.</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are Leslie Kohn, D. Jeffrey Richardson and Elizabeth M. Schwarting and their current terms will expire at the annual meeting of shareholders to be held in 2026.</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are Dr. Hsiao-Wuen Hon, Christopher B. Paisley and Andrew W. Verhalen and their current terms will expire at the upcoming Annual Meeting.</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May 2024, Mr. Verhalen notified the Company of his intent not to stand for re-election when his current term expires at the upcoming Annual Meeting and the size of the Board will be reduced to eight (8) members on the effective date of the Annual Meeting. The Board, upon the recommendation of the nominating and corporate governance committee, has selected Dr. Hon and Mr. Paisley as nominees for election as Class III directors at the upcoming Annual Meeting. The proxies given to the proxy holders will be voted or not voted as directed and, if no direction is given, will be voted FOR each of the two (2) nominees. If any nominee is unable or declines to serve as director at the time of the Annual Meeting, an event not now anticipated, proxies will be voted for any nominee designated by the Board to fill the vacancy. The two (2) nominees for Class III director receiving the highest number of affirmative votes will be elected as Class III directors and will serve until the annual meeting of shareholders to be held in 2027 or until their successors are elected and qualified.</w:t>
      </w:r>
    </w:p>
    <w:p>
      <w:pPr>
        <w:spacing w:after="0" w:line="19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names of the nominees for election as Class III directors, who have been nominated by the Board, and the names of the continuing directors not up for election at the Annual Meeting, along with certain biographical information about the nominees and continuing directors, including the director’s business experience, public company director positions held currently or at any time during the last five years, information regarding involvement in certain legal or administrative proceedings (if applicable), and the experiences, qualifications, attributes or skills that caused the nominating and corporate governance committee to recommend that the director should continue to serve on the Board, are set forth below.</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Names of Nominees for Class III Directors</w:t>
            </w:r>
          </w:p>
        </w:tc>
        <w:tc>
          <w:tcPr>
            <w:tcW w:w="2060" w:type="dxa"/>
            <w:vAlign w:val="bottom"/>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9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Position(s)</w:t>
            </w:r>
          </w:p>
        </w:tc>
        <w:tc>
          <w:tcPr>
            <w:tcW w:w="0" w:type="dxa"/>
            <w:vAlign w:val="bottom"/>
          </w:tcPr>
          <w:p>
            <w:pPr>
              <w:spacing w:after="0"/>
              <w:rPr>
                <w:sz w:val="1"/>
                <w:szCs w:val="1"/>
                <w:color w:val="auto"/>
              </w:rPr>
            </w:pPr>
          </w:p>
        </w:tc>
      </w:tr>
      <w:tr>
        <w:trPr>
          <w:trHeight w:val="171"/>
        </w:trPr>
        <w:tc>
          <w:tcPr>
            <w:tcW w:w="260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Hsiao-Wuen Hon, Ph.D.(2)</w:t>
            </w:r>
          </w:p>
        </w:tc>
        <w:tc>
          <w:tcPr>
            <w:tcW w:w="2060" w:type="dxa"/>
            <w:vAlign w:val="bottom"/>
          </w:tcPr>
          <w:p>
            <w:pPr>
              <w:spacing w:after="0"/>
              <w:rPr>
                <w:sz w:val="14"/>
                <w:szCs w:val="14"/>
                <w:color w:val="auto"/>
              </w:rPr>
            </w:pPr>
          </w:p>
        </w:tc>
        <w:tc>
          <w:tcPr>
            <w:tcW w:w="24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60</w:t>
            </w:r>
          </w:p>
        </w:tc>
        <w:tc>
          <w:tcPr>
            <w:tcW w:w="29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B. Paisley(1)(3)</w:t>
            </w:r>
          </w:p>
        </w:tc>
        <w:tc>
          <w:tcPr>
            <w:tcW w:w="2300" w:type="dxa"/>
            <w:vAlign w:val="bottom"/>
            <w:gridSpan w:val="2"/>
          </w:tcPr>
          <w:p>
            <w:pPr>
              <w:jc w:val="center"/>
              <w:ind w:left="1990"/>
              <w:spacing w:after="0"/>
              <w:rPr>
                <w:sz w:val="20"/>
                <w:szCs w:val="20"/>
                <w:color w:val="auto"/>
              </w:rPr>
            </w:pPr>
            <w:r>
              <w:rPr>
                <w:rFonts w:ascii="Times New Roman" w:cs="Times New Roman" w:eastAsia="Times New Roman" w:hAnsi="Times New Roman"/>
                <w:sz w:val="18"/>
                <w:szCs w:val="18"/>
                <w:color w:val="auto"/>
                <w:w w:val="99"/>
              </w:rPr>
              <w:t>71</w:t>
            </w:r>
          </w:p>
        </w:tc>
        <w:tc>
          <w:tcPr>
            <w:tcW w:w="3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Corporate Governance Committee</w:t>
      </w:r>
    </w:p>
    <w:p>
      <w:pPr>
        <w:spacing w:after="0" w:line="203"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Hsiao-Wuen Hon, Ph.D. </w:t>
      </w:r>
      <w:r>
        <w:rPr>
          <w:rFonts w:ascii="Times New Roman" w:cs="Times New Roman" w:eastAsia="Times New Roman" w:hAnsi="Times New Roman"/>
          <w:sz w:val="18"/>
          <w:szCs w:val="18"/>
          <w:color w:val="auto"/>
        </w:rPr>
        <w:t>has been a member of our Board since August 2017. Dr. Hon is a seasoned technology industry executive with over 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experience at Microsoft Corporation, where he has held various leadership positions. Currently, he serves as Corporate Vice President at Microsoft, and previously held the positions of Asia-Pacific R&amp;D Group Chairman and Managing Director of Microsoft Research Asia. During</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his tenure at Microsoft, he has made significant contributions in the areas of natural artificial intelligence, spoken language recognition, and internet search. Prior to joining Microsoft, Dr. Hon served as Technology Director of the Apple-ISS Research Center on behalf of Apple Corporation. Dr. Hon holds a Bachelor of Science degree in Electrical Engineering from National Taiwan University, a Master of Science degree in Computer Science with a focus on Artificial Intelligence from Carnegie Mellon University, and a Ph.D. degree in Computer Science, with a focus on Artificial Intelligence and Speech Recognition, also from Carnegie Mellon University. We believe that Dr. Hon possesses specific attributes that qualify him to serve as a member of our Board, including his extensive experience and wealth of knowledge in artificial intelligence and his deep managerial experience in the technology industry at Microsoft and Apple.</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B. Paisley </w:t>
      </w:r>
      <w:r>
        <w:rPr>
          <w:rFonts w:ascii="Times New Roman" w:cs="Times New Roman" w:eastAsia="Times New Roman" w:hAnsi="Times New Roman"/>
          <w:sz w:val="18"/>
          <w:szCs w:val="18"/>
          <w:color w:val="auto"/>
        </w:rPr>
        <w:t>has served as a member of our Board since August 2012. Since January 2001, Mr. Paisley has served as the Dean’s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Professor of Accounting at the Leavey School of Business at Santa Clara University. Mr. Paisley also serves on the board of directors of Equinix, Inc., a provider of network colocation, interconnection and managed services, and Fastly, Inc., a cloud computing services provider. Mr. Paisley has previously served on the board of directors of numerous companies, including Fitbit, Inc., a connected health and fitness company, from January 2015 to May 2020, Fortinet, Inc., a provider of unified threat management solutions, from February 2004 to June 2021, and Enterprise 4.0 Technology Acquisition Corp., a Special Purpose Acquisition Corporation from October 2021 to March 2023. Mr. Paisley holds a B.A. degree in Business Economics from the University of California at Santa Barbara and an M.B.A. from the Anderson School at the University of California at Los Angeles. We believe that Mr. Paisley possesses specific attributes that qualify him to serve as a member of our Board, including expertise in finance, including accounting and financial reporting, as a chief financial officer and in other finance roles and currently as a professor in the field of accounting and finance. Mr. Paisley also has over 20 years of outside board experience, which includes serving as audit committee chairman, at numerous public and private companies.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Names of Continuing Directors</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9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0" w:type="dxa"/>
            <w:vAlign w:val="bottom"/>
          </w:tcPr>
          <w:p>
            <w:pPr>
              <w:spacing w:after="0"/>
              <w:rPr>
                <w:sz w:val="1"/>
                <w:szCs w:val="1"/>
                <w:color w:val="auto"/>
              </w:rPr>
            </w:pPr>
          </w:p>
        </w:tc>
      </w:tr>
      <w:tr>
        <w:trPr>
          <w:trHeight w:val="171"/>
        </w:trPr>
        <w:tc>
          <w:tcPr>
            <w:tcW w:w="192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w w:val="98"/>
              </w:rPr>
              <w:t>Anne De Greef-Safft(2)(3)</w:t>
            </w:r>
          </w:p>
        </w:tc>
        <w:tc>
          <w:tcPr>
            <w:tcW w:w="2740" w:type="dxa"/>
            <w:vAlign w:val="bottom"/>
          </w:tcPr>
          <w:p>
            <w:pPr>
              <w:spacing w:after="0"/>
              <w:rPr>
                <w:sz w:val="14"/>
                <w:szCs w:val="14"/>
                <w:color w:val="auto"/>
              </w:rPr>
            </w:pPr>
          </w:p>
        </w:tc>
        <w:tc>
          <w:tcPr>
            <w:tcW w:w="24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61</w:t>
            </w:r>
          </w:p>
        </w:tc>
        <w:tc>
          <w:tcPr>
            <w:tcW w:w="2980" w:type="dxa"/>
            <w:vAlign w:val="bottom"/>
            <w:vMerge w:val="continue"/>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Chenming C. Hu, Ph.D.(1)(2)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5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5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Jeffrey Richardson(1)(2)(3)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5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M. Schwarting(1)(3)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5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Feng-Ming (Fermi) Wang, Ph.D.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5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Chairman of the Board of Directors, President and Chief Executive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Corporate Governance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w:t>
      </w:r>
    </w:p>
    <w:p>
      <w:pPr>
        <w:spacing w:after="0" w:line="20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Anne De Greef-Safft </w:t>
      </w:r>
      <w:r>
        <w:rPr>
          <w:rFonts w:ascii="Times New Roman" w:cs="Times New Roman" w:eastAsia="Times New Roman" w:hAnsi="Times New Roman"/>
          <w:sz w:val="18"/>
          <w:szCs w:val="18"/>
          <w:color w:val="auto"/>
        </w:rPr>
        <w:t>has been a member of our Board since February 2022. She currently provides strategic and operational consulting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private equity firms and their portfolio companies, a role she has had since 2018. From 2015 until her retirement in 2017, Ms. De Greef-Safft was Group President of the Food Service Equipment Group of Standex International Corporation. Prior to 2015, Ms. De Greef-Safft held four successive positions at Danaher Corporation, a global science and technology company, as President of various global operating companies over a period of 12 years. Before joining Danaher, she held various leadership positions in engineering, marketing, sales, and business development for global manufacturing companies. Ms. De Greef-Safft also serves on the boards of directors of Ag Growth International Inc., a global manufacturer of equipment &amp; systems for agriculture bulk commodities, and Benchmark Electronics, Inc., a provider of engineering, manufacturing, and technology solutions to original equipment manufacturers. Ms. De Greef-Safft earned her B.S. and M.S. degrees in Electrical Engineering from the Catholic University of Louvain (KU Leuven) in Belgium and an M.B.A. from Babson College in Massachusetts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Ms. De Greef-Safft has also completed the Climate Leardership Certificate Program through Diligent Corporation. We believe that Ms. De Greef-Safft possesses specific attributes that qualify her to serve as a member of our Board, including her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extensive managerial experience in industrial markets as operating company President with Standex International Corporation and Danaher Corporation, as well as her experience serving as a board member of Ag Growth International Inc. and Benchmark Electronics, Inc.</w:t>
      </w:r>
    </w:p>
    <w:p>
      <w:pPr>
        <w:spacing w:after="0" w:line="15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Chenming C. Hu, Ph.D. </w:t>
      </w:r>
      <w:r>
        <w:rPr>
          <w:rFonts w:ascii="Times New Roman" w:cs="Times New Roman" w:eastAsia="Times New Roman" w:hAnsi="Times New Roman"/>
          <w:sz w:val="18"/>
          <w:szCs w:val="18"/>
          <w:color w:val="auto"/>
        </w:rPr>
        <w:t>has been a member of our Board since November 2011. Since 1976, Dr. Hu has been a professor in electrical engineering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computer sciences at the University of California, Berkeley, where he has been the TSMC Distinguished Chair Professor Emeritus since 2010. He was the Chief Technology Officer of TSMC from 2001 to 2004. Dr. Hu was the founding chairman of Celestry Design Technologies, which was acquired by Cadence Design Systems in 2002. Dr. Hu also serves on the board of directors of ACM Research, Inc., a semiconductor equipment producer. Dr. Hu previously served as a director of numerous companies, including Inphi Corporation from 2010 to 2021, when it was acquired by Marvell Technology, Inc. Dr. Hu is a member of the U.S. National Academy of Engineering and the Chinese Academy of Sciences, and Taiwan’s Academia Sinica. Dr. Hu received his B.S. degree from National Taiwan University and his M.S. degree and Ph.D. from the University of California, Berkeley, all in Electrical Engineering and Computer Sciences. We believe that Dr. Hu possesses specific attributes that qualify him to serve as a member of our Board, including his extensive experience in the microelectronics and semiconductor industries as Chief Technology Officer of TSMC and as a current and former board member of a number of technology companies, as well as his experience in academia as a professor of microelectronics, which gives him in-depth knowledge of technology trends and developments.</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Leslie Kohn </w:t>
      </w:r>
      <w:r>
        <w:rPr>
          <w:rFonts w:ascii="Times New Roman" w:cs="Times New Roman" w:eastAsia="Times New Roman" w:hAnsi="Times New Roman"/>
          <w:sz w:val="18"/>
          <w:szCs w:val="18"/>
          <w:color w:val="auto"/>
        </w:rPr>
        <w:t>has served as our Chief Technology Officer and a member of our Board since he co-founded Ambarella in January 2004.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co-founding Ambarella, Mr. Kohn was Chief Technology Officer and co-founder of Afara Websystems from November 2000 to July 2002. After Afara’s acquisition by Sun Microsystems in July 2002, Mr. Kohn served as a fellow at Sun Microsystems until August 2003. Mr. Kohn served as Chief Architect of C-Cube Microsystems from February 1995 to October 2000. Prior to joining C-Cube Microsystems, Mr. Kohn served in engineering and management positions with Sun Microsystems, Intel Corporation and National Semiconductor. Mr. Kohn holds a B.S. degree in Physics from California Institute of Technology. We believe that Mr. Kohn possesses specific attributes that qualify him to serve as a member of our Board, including his role in developing our technology, his leadership as our co-founder and his many years of experience in the digital video industry.</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 Jeffrey Richardson </w:t>
      </w:r>
      <w:r>
        <w:rPr>
          <w:rFonts w:ascii="Times New Roman" w:cs="Times New Roman" w:eastAsia="Times New Roman" w:hAnsi="Times New Roman"/>
          <w:sz w:val="18"/>
          <w:szCs w:val="18"/>
          <w:color w:val="auto"/>
        </w:rPr>
        <w:t>has been a member of our Board since March 2014. Mr. Richardson served as a senior executive of LSI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(“LSI”), a semiconductor company, from 2005 until its acquisition by Avago Technologies Company in 2014, including most recently serving as Executive Vice President and Chief Operating Officer. Prior to joining LSI, Mr. Richardson served in several capacities at Intel Corporation, including as its Vice President and General Manager of Server Platform Group and Vice President and General Manager of Enterprise Platforms and Services Division. Mr. Richardson currently serves on the board of directors of Kulicke and Soffa Industries, Inc., a provider of semiconductor capital equipment, Lattice Semiconductor Corporation, a semiconductor company, and Graphcore, Ltd., a semiconductor company. Mr. Richardson received a B.S. degree in Electrical Engineering from the University of Colorado Boulder. We believe that Mr. Richardson possesses specific attributes that qualify him to serve as a member of our Board, including his extensive managerial experience in the semiconductor industry as Chief Operating Officer of LSI and senior management positions with LSI and Intel, and his experience as a board member of Lattice Semiconductor and Kulicke and Soffa Industries.</w:t>
      </w:r>
    </w:p>
    <w:p>
      <w:pPr>
        <w:spacing w:after="0" w:line="188"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M. Schwarting </w:t>
      </w:r>
      <w:r>
        <w:rPr>
          <w:rFonts w:ascii="Times New Roman" w:cs="Times New Roman" w:eastAsia="Times New Roman" w:hAnsi="Times New Roman"/>
          <w:sz w:val="18"/>
          <w:szCs w:val="18"/>
          <w:color w:val="auto"/>
        </w:rPr>
        <w:t>has been a member of our Board since June 2020. Since October 2015, Ms. Schwarting has been the Principal Member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DBS Ventures, LLC, where she serves as a consultant for various audiences relating to the automotive market, including automotive technology (with a special emphasis on ADAS/Automated Driving), regulatory trends and business development. From 2009 to 2015, Ms. Schwarting served as Vice President of the Electronic Controls business unit for Delphi Corporation (now Aptiv PLC). As a member of the Executive Committee, she led a global team responsible for the Automotive ADAS and Safety Electronics product lines and the Body Electronics and Security product lines, as well as Power Electronics (for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0"/>
        <w:spacing w:after="0" w:line="257" w:lineRule="auto"/>
        <w:rPr>
          <w:sz w:val="20"/>
          <w:szCs w:val="20"/>
          <w:color w:val="auto"/>
        </w:rPr>
      </w:pPr>
      <w:r>
        <w:rPr>
          <w:rFonts w:ascii="Times New Roman" w:cs="Times New Roman" w:eastAsia="Times New Roman" w:hAnsi="Times New Roman"/>
          <w:sz w:val="18"/>
          <w:szCs w:val="18"/>
          <w:color w:val="auto"/>
        </w:rPr>
        <w:t>Hybrid and Electric Vehicles). From 1999 to 2009, Ms. Schwarting held several leadership positions at Delphi, including Vice President, Safety Systems, Global Director, Sales and Marketing, and General Motors Global Customer Director. Prior to joining Delphi, Ms. Schwarting held the position of General Manager and Vice President, Strategic Accounts for Eastman Kodak Company within the Consumer Imaging Division.</w:t>
      </w:r>
    </w:p>
    <w:p>
      <w:pPr>
        <w:spacing w:after="0" w:line="1"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Ms. Schwarting also currently serves on the board of directors of Lattice Semiconductor Corporation, a semiconductor company. Ms. Schwarting received a B.S. degree in Language Arts from the University of Nebraska. We believe that Ms. Schwarting possesses specific attributes that qualify her to serve as a member of our Board, including her extensive managerial experience in the automotive industry in senior management positions with Delphi, her sales and customer management experience with Eastman Kodak, and her experience as a board member of Lattice Semiconductor.</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Feng-Ming (Fermi) Wang, Ph.D. </w:t>
      </w:r>
      <w:r>
        <w:rPr>
          <w:rFonts w:ascii="Times New Roman" w:cs="Times New Roman" w:eastAsia="Times New Roman" w:hAnsi="Times New Roman"/>
          <w:sz w:val="18"/>
          <w:szCs w:val="18"/>
          <w:color w:val="auto"/>
        </w:rPr>
        <w:t>has served as our Chairman of the Board of Directors, President and Chief Executive Officer since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co-founded Ambarella in January 2004. Prior to co-founding Ambarella, Dr. Wang was Chief Executive Officer and co-founder of Afara Websystems, a developer of throughput-oriented microprocessor technology, from November 2000 to July 2002, when Afara was acquired by Sun Microsystems, Inc. Before founding Afara, Dr. Wang served in various positions at C-Cube Microsystems, Inc., a digital video company, from August 1991 to August 2000, and last served as Vice President and General Manager from 1997 to 2000. Dr. Wang holds a B.S. degree in electrical engineering from National Taiwan University and an M.S. degree and Ph.D. in electrical engineering from Columbia University. We believe that Dr. Wang possesses specific attributes that qualify him to serve as a member of our Board, including his service as our Chairman of the Board of Directors, President and Chief Executive Officer, his leadership as a co-founder of Ambarella and his years of experience in the digital video industry.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8"/>
          <w:szCs w:val="18"/>
          <w:b w:val="1"/>
          <w:bCs w:val="1"/>
          <w:color w:val="auto"/>
        </w:rPr>
        <w:t>ote Required</w:t>
      </w:r>
    </w:p>
    <w:p>
      <w:pPr>
        <w:spacing w:after="0" w:line="121"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two (2) nominees for Class III director receiving the highest number of affirmative votes will be elected as Class III directors. Abstentions and broker non-votes will have no effect on the outcome of the vote. Unless otherwise indicated, all proxies received will be voted “FOR” each of the nominees listed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the nominees set forth above as Class III directors of Ambarella.</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Board is currently composed of nine (9) members and will be reduced to eight (8) members effective upon the date of the upcoming Annual Meeting. The Board and its committees meet throughout the year on a set schedule and hold special meetings from time to time as appropriate. The Board held six (6) meetings during the 2024 fiscal year. Each director attended at least 75% of the total aggregate of the regularly scheduled and special meetings held by the Board and the committees on which such director served during his or her tenure in fiscal year 2024. Our non-management directors meet in regularly scheduled executive sessions without the presence of management. The lead independent director of the Board presides over each such executive session. Under our Corporate Governance Guidelines, our directors are encouraged to attend our annual meeting of shareholders and seven (7) of our directors attended the 2023 annual meeting.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Corporate Governance Guidelines provide that a majority of our directors will be independent. Based on the review and recommendation by the nominating and corporate governance committee, the Board has determined that Anne De Greef-Safft, Hsiao-Wuen Hon, Chenming Hu, Christopher Paisley, D. Jeffrey Richardson, Elizabeth Schwarting, and Andrew Verhalen, representing a majority of our directors, are independent directors under the rules of Nasdaq. In making these determinations, the Board found that none of these directors had a material or other disqualifying relationship with Ambarella that would interfere with the exercise of independent judgment in carrying out the responsibilities of a director. Feng-Ming (Fermi) Wang, Ambarella’s Chairman of the Board, President and Chief Executive Officer, and Leslie Kohn, Ambarella’s Chief Technology Officer, are not independent directors by virtue of their employment with Ambarella.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 Board is currently chaired by Dr. Wang, the President and Chief Executive Officer of Ambarella. We believe that combining the positions of Chief Executive Officer and Chairman helps to ensure that the Board and management act with a common purpose. In our view, separating the positions of Chief Executive Officer and Chairman has the potential to give rise to divided leadership, which could interfere with good decision-making or weaken our ability to develop and implement strategy. Instead, we believe that combining the positions of Chief Executive Officer and Chairman provides a single, clear chain of command to execute our strategic initiatives and business plans. In addition, we believe that a combined Chief Executive Officer and Chairman is better positioned to act as a bridge between management and the Board, facilitating the regular flow of information. The Chairman determines the agenda and presides over Board meetings. Dr. Wang’s extensive experience with the Company as a co-founder, President and Chief Executive Officer, and Chairman makes him a strong strategic leader and enables the Board to oversee and support the Company’s initiatives.</w:t>
      </w:r>
    </w:p>
    <w:p>
      <w:pPr>
        <w:spacing w:after="0" w:line="17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Board determined as part of our corporate governance principles that one of our independent directors should serve as a lead director at any time when the title of chairman is held by an employee director or there is no current chairman. The lead independent director presides over periodic meetings of our independent directors, has the responsibility of raising issues with management on behalf of the outside directors when appropriate and oversees the function of the Board and committees, including advising on agendas and materials to be distributed to the Board among other responsibilities. Mr. Verhalen has served as our lead independent director since June 2017. Prior to the expiration of Mr. Verhalen’s current term at the upcoming Annual Meeting, the Board is expected to appoint a new lead independent director to assume the role effective upon the date of the Annual Meeting.</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current leadership structure of the Board, as well as our emphasis on Board independence, is appropriate at the present time and allows the Board to fulfill its duties effectively and efficiently based on our current needs.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have established an audit committee, a compensation committee, and a nominating and corporate governance committee. Each of the committees has authority to engage legal counsel or other experts or consultants, as it deems appropriate to carry out its responsibilities. The Board has determined that each member of each committee meets the applicable Nasdaq and SEC rules and regulations regarding “independence” and that each member is free of any relationship that would impair his or her individual exercise of independent judgment with regard to Ambarella. We intend to comply with future requirements as they become applicable to us. Each of the committees operates under a written charter adopted by the Board, each of which can be found on our website at </w:t>
      </w:r>
      <w:r>
        <w:rPr>
          <w:rFonts w:ascii="Times New Roman" w:cs="Times New Roman" w:eastAsia="Times New Roman" w:hAnsi="Times New Roman"/>
          <w:sz w:val="18"/>
          <w:szCs w:val="18"/>
          <w:i w:val="1"/>
          <w:iCs w:val="1"/>
          <w:color w:val="auto"/>
        </w:rPr>
        <w:t>http://investor.ambarella.com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40" w:firstLine="440"/>
        <w:spacing w:after="0" w:line="312" w:lineRule="auto"/>
        <w:rPr>
          <w:sz w:val="20"/>
          <w:szCs w:val="20"/>
          <w:color w:val="auto"/>
        </w:rPr>
      </w:pPr>
      <w:r>
        <w:rPr>
          <w:rFonts w:ascii="Times New Roman" w:cs="Times New Roman" w:eastAsia="Times New Roman" w:hAnsi="Times New Roman"/>
          <w:sz w:val="17"/>
          <w:szCs w:val="17"/>
          <w:color w:val="auto"/>
        </w:rPr>
        <w:t>The composition of the Board and each committee is identified in the following table, and the responsibilities of each committee is described below. On occasion, the Board may appoint special committees or designate directors to undertake special assignments on behalf of the Board.</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40" w:type="dxa"/>
            <w:vAlign w:val="bottom"/>
            <w:gridSpan w:val="3"/>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Current Directors</w:t>
            </w:r>
          </w:p>
        </w:tc>
        <w:tc>
          <w:tcPr>
            <w:tcW w:w="13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9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5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 and</w:t>
            </w:r>
          </w:p>
        </w:tc>
        <w:tc>
          <w:tcPr>
            <w:tcW w:w="0" w:type="dxa"/>
            <w:vAlign w:val="bottom"/>
          </w:tcPr>
          <w:p>
            <w:pPr>
              <w:spacing w:after="0"/>
              <w:rPr>
                <w:sz w:val="1"/>
                <w:szCs w:val="1"/>
                <w:color w:val="auto"/>
              </w:rPr>
            </w:pPr>
          </w:p>
        </w:tc>
      </w:tr>
      <w:tr>
        <w:trPr>
          <w:trHeight w:val="173"/>
        </w:trPr>
        <w:tc>
          <w:tcPr>
            <w:tcW w:w="6040" w:type="dxa"/>
            <w:vAlign w:val="bottom"/>
            <w:gridSpan w:val="3"/>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191"/>
        </w:trPr>
        <w:tc>
          <w:tcPr>
            <w:tcW w:w="2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Anne De Greef-Safft</w:t>
            </w:r>
          </w:p>
        </w:tc>
        <w:tc>
          <w:tcPr>
            <w:tcW w:w="1120" w:type="dxa"/>
            <w:vAlign w:val="bottom"/>
            <w:tcBorders>
              <w:top w:val="single" w:sz="8" w:color="auto"/>
            </w:tcBorders>
          </w:tcPr>
          <w:p>
            <w:pPr>
              <w:spacing w:after="0"/>
              <w:rPr>
                <w:sz w:val="16"/>
                <w:szCs w:val="16"/>
                <w:color w:val="auto"/>
              </w:rPr>
            </w:pPr>
          </w:p>
        </w:tc>
        <w:tc>
          <w:tcPr>
            <w:tcW w:w="2620" w:type="dxa"/>
            <w:vAlign w:val="bottom"/>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2"/>
              </w:rPr>
              <w:t>Yes</w:t>
            </w:r>
          </w:p>
        </w:tc>
        <w:tc>
          <w:tcPr>
            <w:tcW w:w="4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X</w:t>
            </w:r>
          </w:p>
        </w:tc>
        <w:tc>
          <w:tcPr>
            <w:tcW w:w="44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Chenming C. Hu</w:t>
            </w: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Yes</w:t>
            </w: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Hsiao-Wuen Hon</w:t>
            </w: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Leslie Kohn</w:t>
            </w: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Christopher B. Paisley</w:t>
            </w: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Yes</w:t>
            </w: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Chair</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Jeffrey Richardson</w:t>
            </w: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Yes</w:t>
            </w: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Chair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Elizabeth M. Schwarting</w:t>
            </w: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Yes</w:t>
            </w: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W. Verhalen</w:t>
            </w: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Feng-Ming (Fermi) Wang</w:t>
            </w: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Meetings Held in Fiscal Year 2024</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is currently composed of four (4) directors: Dr. Hu, Mr. Paisley, Mr. Richardson, and Ms. Schwarting. Mr. Paisley serves as the chairman of the committee. The audit committee met five (5) times during fiscal year 2024.</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responsibilities of our audit committee include:</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hiring, discharging and compensation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independence and performance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and discussing the statements and reports with our independent registered public accounting firm and management;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with respect to related party transactions;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and management, significant issues that may arise regarding accounting principles and financial statement presentation, as well as matters concerning the scope, adequacy and effectiveness of our financial controls; and</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financial controls, accounting or auditing matters.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Board has determined that Mr. Paisley qualifies as an “audit committee financial expert,” as defined in applicable SEC rules. The Board made a qualitative assessment of Mr. Paisley’s level of knowledge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experience based on a number of factors, including his formal education and experiences as a chief financial officer for public reporting companies, his service on the audit committees of other publicly traded companies, as well as his role as a university professor in the field of accounting and finance.</w:t>
      </w:r>
    </w:p>
    <w:p>
      <w:pPr>
        <w:spacing w:after="0" w:line="2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is currently composed of four (4) directors: Ms. De Greef-Safft, Dr. Hon, Dr. Hu, and Mr. Richardson.</w:t>
      </w:r>
    </w:p>
    <w:p>
      <w:pPr>
        <w:spacing w:after="0" w:line="27"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Mr. Richardson serves as the chairman of the committee. The compensation committee formally met five (5) times during fiscal year 2024. Each member of the compensation committee is a non-employee director, as defined pursuant to Rule 16b-3 promulgated under the Securities Exchange Act of 1934, as amended.</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responsibilities of our compensation committee include:</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policies relating to compensation and benefits of our executive officers and senior members of management;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changes with respect to the compensation levels of our chief executive officer and other executive officers;</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our chief executive officer and other executive officers, and evaluating the performance of our chief executive officer and other executive officers in light of the established goals and objectives;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changes with respect to the compensation of our directors;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option plans, stock purchase plans, compensation plans and similar programs, including the adoption, amendment and termination of such plans.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has the authority to retain its own compensation consultants and outside legal, accounting and other advisers at the Company’s expense. The compensation committee does not delegate its authority to such consultants or advisers. The compensation committee has engaged the services of Semler Brossy Consulting Group, LLP (“Semler Brossy”), a compensation consulting firm, and has considered such firm’s input in evaluating compensation trends and best practices, identifying peer group companies and benchmarking compensation data and other aspects of administering the Company’s executive compensation program. There were no conflicts of interest between the Company and Semler Brossy or the Company’s outside legal counsel, Wilson Sonsini Goodrich &amp; Rosati P.C.</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currently composed of five (5) directors: Ms. De Greef-Safft, Mr. Paisley, Mr. Richardson, Ms. Schwarting, and Mr. Verhalen. Mr. Verhalen serves as the chairman of the committee. Prior to the expiration of Mr. Verhalen’s current term at the upcoming Annual Meeting, the Board is expected to appoint a chairman of the committee to assume the role effective upon the date of the Annual Meeting. The nominating and corporate governance committee met four (4) times during fiscal year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responsibilities of our nominating and corporate governance committee include:</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performance of the Board, including its committees and individual directors, as well as the size of the Board;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recommending candidates for membership on the Board, including nominations by shareholders of candidates for election to the Board;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incumbent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membership of the committees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for the continuing education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succession planning for our chief executive officer;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evaluation of risks, controls and procedures related to cybersecurity and information and technology security, including the disclosure of any significant risks and incidents to the extent required;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corporate environmental, social and governance (ESG) practices and policies;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changes with respect to corporate governance practices and policies.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One of the key functions of the Board is informed oversight of our risk management process. The Board does not have a standing risk management committee, but rather administers this oversight function directly through the Board as a whole, as well as through its standing committees that address risks inherent in their respective areas of oversight. Our management is responsible for day-to-day management of key risk areas. The Board regularly receives updates from management and discusses risks at regular Board meetings, and considers both the immediacy of a risk and its materiality in making strategic decisions and helping management to prioritize resources.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particular, the Board is responsible for monitoring and assessing strategic risk exposure, including cybersecurity risks.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external audit function. Our compensation committee assesses and monitors whether any of our compensation policies and programs has the potential to encourage excessive risk-taking by management or employees. Our nominating and corporate governance committee monitors the Company’s evaluation of risks, controls and procedures related to cybersecurity and information and technology security as well as the effectiveness of our corporate, social and governance guidelines and policies. The committees regularly provide reports to the Board on their activities, including those related to risk management.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and its committees engage outside advisors and experts from time to time to assist in understanding risks, threats and trends.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During fiscal year 2024, Ms. De Greef-Safft, Dr. Hon, Dr. Hu, and Mr. Richardson served as members of the compensation committee. None of the members of our compensation committee is or has in the past served as an officer or employee of the Company. None of our executive officers currently serves, or in the past year has served, as a member of the Board or compensation committee of any entity that has one or more executive officers serving on the Board or compensation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Evaluation of Board and Director Performance</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Board believes that a regular evaluation process is an essential component of strong corporate governance practices. The nominating and corporate governance committee oversees an evaluation process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82"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evaluate Board effectiveness and aid in succession planning. This process consists of a full Board evaluation as well as evaluations of each of the Board’s standing committees. The evaluations, which are distributed and obtained through outside counsel to promote candidness, seek feedback on Board and committee performance, chairman performance, processes, effectiveness, and opportunities for improvement. The questionnaires are designed to solicit feedback on a range of topics, including overall Board and committee dynamics, leadership, meeting agenda topics, information flow and access to management, director preparation and participation, and succession planning. The results of the evaluations are reviewed and discussed with the Board and its committees.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Skills, Competencies and Experience</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maintains a skill set survey of the current Board members. The Board uses the survey to evaluate the experience and expertise of the existing Board members and to identify the skills and characteristics of future director candidates. The table below sets forth certain skills, competencies and experience of our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217805</wp:posOffset>
            </wp:positionV>
            <wp:extent cx="111125" cy="9512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95123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337820</wp:posOffset>
            </wp:positionV>
            <wp:extent cx="111125" cy="831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312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509270</wp:posOffset>
            </wp:positionV>
            <wp:extent cx="111125" cy="659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65976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603250</wp:posOffset>
            </wp:positionV>
            <wp:extent cx="111125" cy="565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56578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226060</wp:posOffset>
            </wp:positionV>
            <wp:extent cx="111125" cy="942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94297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140335</wp:posOffset>
            </wp:positionV>
            <wp:extent cx="111125" cy="1028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102870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157480</wp:posOffset>
            </wp:positionV>
            <wp:extent cx="111125" cy="1011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10115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311785</wp:posOffset>
            </wp:positionV>
            <wp:extent cx="111760" cy="8572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760" cy="85725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568960</wp:posOffset>
            </wp:positionV>
            <wp:extent cx="111760" cy="600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7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Skills</w:t>
            </w:r>
          </w:p>
        </w:tc>
        <w:tc>
          <w:tcPr>
            <w:tcW w:w="4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0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Industry-Specific Experience</w:t>
            </w:r>
          </w:p>
        </w:tc>
        <w:tc>
          <w:tcPr>
            <w:tcW w:w="20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Semiconductor Industry Experience</w:t>
            </w:r>
          </w:p>
        </w:tc>
        <w:tc>
          <w:tcPr>
            <w:tcW w:w="202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American Business Experience</w:t>
            </w:r>
          </w:p>
        </w:tc>
        <w:tc>
          <w:tcPr>
            <w:tcW w:w="2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gridSpan w:val="2"/>
            <w:shd w:val="clear" w:color="auto" w:fill="CCEEFF"/>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Business Experience – Asia/Developing Economies</w:t>
            </w:r>
          </w:p>
        </w:tc>
        <w:tc>
          <w:tcPr>
            <w:tcW w:w="202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Business Experience – Europe</w:t>
            </w:r>
          </w:p>
        </w:tc>
        <w:tc>
          <w:tcPr>
            <w:tcW w:w="2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Segments</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Camera</w:t>
            </w:r>
          </w:p>
        </w:tc>
        <w:tc>
          <w:tcPr>
            <w:tcW w:w="2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Automotive</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Robotics and Industrial</w:t>
            </w:r>
          </w:p>
        </w:tc>
        <w:tc>
          <w:tcPr>
            <w:tcW w:w="2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
        </w:trPr>
        <w:tc>
          <w:tcPr>
            <w:tcW w:w="3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Business Skills and Expertise</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Human Capital Management</w:t>
            </w:r>
          </w:p>
        </w:tc>
        <w:tc>
          <w:tcPr>
            <w:tcW w:w="202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Management &amp; Marketing</w:t>
            </w:r>
          </w:p>
        </w:tc>
        <w:tc>
          <w:tcPr>
            <w:tcW w:w="2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gridSpan w:val="2"/>
            <w:shd w:val="clear" w:color="auto" w:fill="CCEEFF"/>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Business Development</w:t>
            </w:r>
          </w:p>
        </w:tc>
        <w:tc>
          <w:tcPr>
            <w:tcW w:w="202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&amp; Supply Chain Management</w:t>
            </w:r>
          </w:p>
        </w:tc>
        <w:tc>
          <w:tcPr>
            <w:tcW w:w="2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gridSpan w:val="2"/>
            <w:shd w:val="clear" w:color="auto" w:fill="CCEEFF"/>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CEO/Executive Level Management Experience</w:t>
            </w:r>
          </w:p>
        </w:tc>
        <w:tc>
          <w:tcPr>
            <w:tcW w:w="202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&amp; Accounting Literacy</w:t>
            </w:r>
          </w:p>
        </w:tc>
        <w:tc>
          <w:tcPr>
            <w:tcW w:w="2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gridSpan w:val="2"/>
            <w:shd w:val="clear" w:color="auto" w:fill="CCEEFF"/>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 Technology &amp; Cybersecurity</w:t>
            </w:r>
          </w:p>
        </w:tc>
        <w:tc>
          <w:tcPr>
            <w:tcW w:w="202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Strategy Development and Implementation</w:t>
            </w:r>
          </w:p>
        </w:tc>
        <w:tc>
          <w:tcPr>
            <w:tcW w:w="2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gridSpan w:val="2"/>
            <w:shd w:val="clear" w:color="auto" w:fill="CCEEFF"/>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Board / Governance Experience</w:t>
            </w:r>
          </w:p>
        </w:tc>
        <w:tc>
          <w:tcPr>
            <w:tcW w:w="202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Mergers &amp; Acquisitions / Organizational Change</w:t>
            </w:r>
          </w:p>
        </w:tc>
        <w:tc>
          <w:tcPr>
            <w:tcW w:w="2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gridSpan w:val="2"/>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gridSpan w:val="2"/>
            <w:shd w:val="clear" w:color="auto" w:fill="CCEEFF"/>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3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2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is committed to continuing to identify, recruit and retain highly qualified directors and director candidates with diverse experiences, tenures, perspectives, and backgrounds to join and remain on the Board. The graphics below summarize the current gender, age and tenure of the Board.</w:t>
      </w:r>
    </w:p>
    <w:p>
      <w:pPr>
        <w:spacing w:after="0" w:line="199" w:lineRule="exact"/>
        <w:rPr>
          <w:sz w:val="20"/>
          <w:szCs w:val="20"/>
          <w:color w:val="auto"/>
        </w:rPr>
      </w:pPr>
    </w:p>
    <w:p>
      <w:pPr>
        <w:ind w:left="2780"/>
        <w:spacing w:after="0"/>
        <w:tabs>
          <w:tab w:leader="none" w:pos="8260" w:val="left"/>
        </w:tabs>
        <w:rPr>
          <w:sz w:val="20"/>
          <w:szCs w:val="20"/>
          <w:color w:val="auto"/>
        </w:rPr>
      </w:pPr>
      <w:r>
        <w:rPr>
          <w:rFonts w:ascii="Times New Roman" w:cs="Times New Roman" w:eastAsia="Times New Roman" w:hAnsi="Times New Roman"/>
          <w:sz w:val="18"/>
          <w:szCs w:val="18"/>
          <w:b w:val="1"/>
          <w:bCs w:val="1"/>
          <w:color w:val="auto"/>
        </w:rPr>
        <w:t>Age</w:t>
      </w:r>
      <w:r>
        <w:rPr>
          <w:sz w:val="20"/>
          <w:szCs w:val="20"/>
          <w:color w:val="auto"/>
        </w:rPr>
        <w:tab/>
      </w:r>
      <w:r>
        <w:rPr>
          <w:rFonts w:ascii="Times New Roman" w:cs="Times New Roman" w:eastAsia="Times New Roman" w:hAnsi="Times New Roman"/>
          <w:sz w:val="18"/>
          <w:szCs w:val="18"/>
          <w:b w:val="1"/>
          <w:bCs w:val="1"/>
          <w:color w:val="auto"/>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173990</wp:posOffset>
            </wp:positionV>
            <wp:extent cx="1139825" cy="1036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9825" cy="10369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173990</wp:posOffset>
            </wp:positionV>
            <wp:extent cx="1388745" cy="6254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8874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i w:val="1"/>
          <w:iCs w:val="1"/>
          <w:color w:val="auto"/>
        </w:rPr>
        <w:t>Average Tenure: 11.7 yrs</w:t>
      </w:r>
    </w:p>
    <w:p>
      <w:pPr>
        <w:spacing w:after="0" w:line="200" w:lineRule="exact"/>
        <w:rPr>
          <w:sz w:val="20"/>
          <w:szCs w:val="20"/>
          <w:color w:val="auto"/>
        </w:rPr>
      </w:pPr>
    </w:p>
    <w:p>
      <w:pPr>
        <w:spacing w:after="0" w:line="24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i w:val="1"/>
          <w:iCs w:val="1"/>
          <w:color w:val="auto"/>
        </w:rPr>
        <w:t>Average Age: 64</w:t>
      </w:r>
    </w:p>
    <w:p>
      <w:pPr>
        <w:spacing w:after="0" w:line="264" w:lineRule="exact"/>
        <w:rPr>
          <w:sz w:val="20"/>
          <w:szCs w:val="20"/>
          <w:color w:val="auto"/>
        </w:rPr>
      </w:pPr>
    </w:p>
    <w:p>
      <w:pPr>
        <w:ind w:left="2640"/>
        <w:spacing w:after="0"/>
        <w:tabs>
          <w:tab w:leader="none" w:pos="8000" w:val="left"/>
        </w:tabs>
        <w:rPr>
          <w:sz w:val="20"/>
          <w:szCs w:val="20"/>
          <w:color w:val="auto"/>
        </w:rPr>
      </w:pPr>
      <w:r>
        <w:rPr>
          <w:rFonts w:ascii="Times New Roman" w:cs="Times New Roman" w:eastAsia="Times New Roman" w:hAnsi="Times New Roman"/>
          <w:sz w:val="18"/>
          <w:szCs w:val="18"/>
          <w:b w:val="1"/>
          <w:bCs w:val="1"/>
          <w:color w:val="auto"/>
        </w:rPr>
        <w:t>Gender</w:t>
      </w:r>
      <w:r>
        <w:rPr>
          <w:sz w:val="20"/>
          <w:szCs w:val="20"/>
          <w:color w:val="auto"/>
        </w:rPr>
        <w:tab/>
      </w:r>
      <w:r>
        <w:rPr>
          <w:rFonts w:ascii="Times New Roman" w:cs="Times New Roman" w:eastAsia="Times New Roman" w:hAnsi="Times New Roman"/>
          <w:sz w:val="18"/>
          <w:szCs w:val="18"/>
          <w:b w:val="1"/>
          <w:bCs w:val="1"/>
          <w:color w:val="auto"/>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173990</wp:posOffset>
            </wp:positionV>
            <wp:extent cx="882650" cy="1139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2650" cy="113982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173990</wp:posOffset>
            </wp:positionV>
            <wp:extent cx="1517015" cy="11144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01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960"/>
        <w:spacing w:after="0"/>
        <w:tabs>
          <w:tab w:leader="none" w:pos="7380" w:val="left"/>
        </w:tabs>
        <w:rPr>
          <w:sz w:val="20"/>
          <w:szCs w:val="20"/>
          <w:color w:val="auto"/>
        </w:rPr>
      </w:pPr>
      <w:r>
        <w:rPr>
          <w:rFonts w:ascii="Times New Roman" w:cs="Times New Roman" w:eastAsia="Times New Roman" w:hAnsi="Times New Roman"/>
          <w:sz w:val="35"/>
          <w:szCs w:val="35"/>
          <w:i w:val="1"/>
          <w:iCs w:val="1"/>
          <w:color w:val="auto"/>
          <w:vertAlign w:val="subscript"/>
        </w:rPr>
        <w:t>2 of 9 directors are women</w:t>
      </w:r>
      <w:r>
        <w:rPr>
          <w:sz w:val="20"/>
          <w:szCs w:val="20"/>
          <w:color w:val="auto"/>
        </w:rPr>
        <w:tab/>
      </w:r>
      <w:r>
        <w:rPr>
          <w:rFonts w:ascii="Times New Roman" w:cs="Times New Roman" w:eastAsia="Times New Roman" w:hAnsi="Times New Roman"/>
          <w:sz w:val="17"/>
          <w:szCs w:val="17"/>
          <w:i w:val="1"/>
          <w:iCs w:val="1"/>
          <w:color w:val="auto"/>
        </w:rPr>
        <w:t>7 of 9 directors are independent</w:t>
      </w:r>
    </w:p>
    <w:p>
      <w:pPr>
        <w:spacing w:after="0" w:line="28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the table below provides certain information regarding the composition of our Board of Directors in the categories defined by Nasdaq Rule 5605(f). As shown below, the Company is currently in compliance with the diversity requirements of Nasdaq Rule 5605(f).</w:t>
      </w:r>
    </w:p>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Board Diversity Matrix (as of March 31, 2024)</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6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60" w:type="dxa"/>
            <w:vAlign w:val="bottom"/>
          </w:tcPr>
          <w:p>
            <w:pPr>
              <w:spacing w:after="0"/>
              <w:rPr>
                <w:sz w:val="20"/>
                <w:szCs w:val="20"/>
                <w:color w:val="auto"/>
              </w:rPr>
            </w:pPr>
          </w:p>
        </w:tc>
        <w:tc>
          <w:tcPr>
            <w:tcW w:w="154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40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Non-Binary </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Did Not Disclose Gender</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54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 xml:space="preserve">Female    </w:t>
            </w:r>
          </w:p>
        </w:tc>
        <w:tc>
          <w:tcPr>
            <w:tcW w:w="140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 xml:space="preserve">Male    </w:t>
            </w:r>
          </w:p>
        </w:tc>
        <w:tc>
          <w:tcPr>
            <w:tcW w:w="188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 Gender Identity</w:t>
            </w:r>
          </w:p>
        </w:tc>
        <w:tc>
          <w:tcPr>
            <w:tcW w:w="6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860" w:type="dxa"/>
            <w:vAlign w:val="bottom"/>
          </w:tcPr>
          <w:p>
            <w:pPr>
              <w:spacing w:after="0"/>
              <w:rPr>
                <w:sz w:val="18"/>
                <w:szCs w:val="18"/>
                <w:color w:val="auto"/>
              </w:rPr>
            </w:pP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15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81"/>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860" w:type="dxa"/>
            <w:vAlign w:val="bottom"/>
          </w:tcPr>
          <w:p>
            <w:pPr>
              <w:spacing w:after="0"/>
              <w:rPr>
                <w:sz w:val="18"/>
                <w:szCs w:val="18"/>
                <w:color w:val="auto"/>
              </w:rPr>
            </w:pP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nominates directors for election at each annual meeting of shareholders and elects new directors to fill vacancies when they arise. The nominating and corporate governance committee has the responsibility to identify, evaluate, recruit and recommend qualified candidates to the Board for nomination or election.</w:t>
      </w:r>
    </w:p>
    <w:p>
      <w:pPr>
        <w:spacing w:after="0" w:line="174"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Director Criteria</w:t>
      </w:r>
      <w:r>
        <w:rPr>
          <w:rFonts w:ascii="Times New Roman" w:cs="Times New Roman" w:eastAsia="Times New Roman" w:hAnsi="Times New Roman"/>
          <w:sz w:val="18"/>
          <w:szCs w:val="18"/>
          <w:color w:val="auto"/>
        </w:rPr>
        <w:t>. The nominating and corporate governance committee has a policy regarding consideration of director candidates recommended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shareholders. The nominating and corporate governance</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committee reviews suggestions for director candidates recommended by shareholders and considers such candidates for recommendation based upon an appropriate balance of knowledge, experience and capability. In addition to considering an appropriate balance of knowledge, experience and capability, the Board has as an objective that its membership be composed of experienced and dedicated individuals with diversity of backgrounds, perspectives and skills. Except as may be required by rules promulgated by Nasdaq or the SEC, there are currently no specific, minimum qualifications that must be met by each candidate for the Board, nor are there any specific qualities or skills that are necessary for one or more of the members of the Board to possess. The nominating and corporate governance committee selects candidates for director based on their character, judgment, diversity of experience, independence, corporate experience, length of service, potential conflicts of interest, and their willingness and ability to devote sufficient time to effectively carry out their duties as a director.</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each annual meeting of shareholders, the nominating and corporate governance committee will identify nominees first by reviewing the current directors whose term expires at the annual meeting of shareholders and who are willing to continue in service. These candidates are evaluated based on the criteria described above, including as demonstrated by the candidate’s prior service as a director, and the needs of the Board with respect to the particular talents and experience of its directors. In the event that a director does not wish to continue in service, the nominating and corporate governance committee determines not to nominate the director, or a vacancy is created on the Board as a result of a resignation, an increase in the size of the Board or other event, the nominating and corporate governance committee will consider various candidates for Board membership, including those suggested by members of the nominating and corporate governance committee, by other members of the Board, by any executive search firm engaged by the nominating and corporate governance committee and by shareholders. The nominating and corporate governance committee has from time to time retained an executive search firm to assist in sourcing potential candidates for our Board.</w:t>
      </w:r>
    </w:p>
    <w:p>
      <w:pPr>
        <w:spacing w:after="0" w:line="186" w:lineRule="exact"/>
        <w:rPr>
          <w:sz w:val="20"/>
          <w:szCs w:val="20"/>
          <w:color w:val="auto"/>
        </w:rPr>
      </w:pPr>
    </w:p>
    <w:p>
      <w:pPr>
        <w:ind w:left="120" w:firstLine="440"/>
        <w:spacing w:after="0" w:line="238" w:lineRule="auto"/>
        <w:rPr>
          <w:sz w:val="20"/>
          <w:szCs w:val="20"/>
          <w:color w:val="auto"/>
        </w:rPr>
      </w:pPr>
      <w:r>
        <w:rPr>
          <w:rFonts w:ascii="Times New Roman" w:cs="Times New Roman" w:eastAsia="Times New Roman" w:hAnsi="Times New Roman"/>
          <w:sz w:val="18"/>
          <w:szCs w:val="18"/>
          <w:i w:val="1"/>
          <w:iCs w:val="1"/>
          <w:color w:val="auto"/>
        </w:rPr>
        <w:t>Shareholder Nominees</w:t>
      </w:r>
      <w:r>
        <w:rPr>
          <w:rFonts w:ascii="Times New Roman" w:cs="Times New Roman" w:eastAsia="Times New Roman" w:hAnsi="Times New Roman"/>
          <w:sz w:val="18"/>
          <w:szCs w:val="18"/>
          <w:color w:val="auto"/>
        </w:rPr>
        <w:t>. In addition, our articles of association contain provisions that address the process by which a shareholder may nominate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to stand for election to the Board at our annual meeting of shareholders. In order to nominate a candidate for director, a shareholder must give timely notice in writing to Ambarella, Inc.’s Secretary and comply with the provisions of our articles of association. To be timely, we must have received the shareholder’s notice not more than 120 days nor less than 90 days prior to the anniversary of the date our proxy statement was provided to shareholders in connection with previous year’s annual meeting of shareholders. However, if we did not hold an annual meeting of shareholders in the prior year or if the date of the annual meeting of shareholders is more than 30 days before or after the anniversary date of the prior year’s annual meeting of shareholders, we must receive the shareholder’s notice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Annual Meeting and not later than the close of business on the later of 90 days prior to the annual meeting of shareholders and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day we provided such public disclosure of the meeting date. Information required by the articles of association to be in the notice include the name and contact information for the candidate and the person making the nomination, the principal occupation or employment of the candidate, the class and number of Ambarella securities held by the candidate, and other information about the nominee that must be disclosed in proxy solicitations under Section 14 of the Securities Exchange Act of 1934 and the related rules and regulations under that Section. Any notice of director nomination must include the additional information required by Rule 14a-19(b) under the Exchange Act. We received no director nominees from our shareholders for the upcoming Annual Meeting. Shareholder nominations must be made in accordance with the procedures outlined in, and include the information required by, our articles of association and must be addressed to 3101 Jay Street, Santa Clara, CA 95054, Attn: Secretary. You can obtain a copy of our articles of association by writing to the Secretary at this address.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Voting Policy</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Board has adopted a director voting policy, which establishes that any director nominee who receives a greater number of “Withhold” votes than “For” votes in an uncontested election held in an annual meeting of shareholders shall submit his or her offer of resignation to the nominating and corporate governance committee.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shall evaluate the relevant facts and circumstances and recommend to the Board an action to be taken on the resignation offer. The Board will promptly publicly disclose its decision and, if applicable, the reasons for rejecting the tendered resignation.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Board has adopted a formal process by which shareholders may communicate with the Board or any of its directors. Shareholders who wish to communicate with the Board or an individual director may send a written communication addressed as follows: Ambarella Board Communication, 3101 Jay Street, Santa Clara, California 95054. Each communication will be reviewed by the General Counsel of Ambarella who will forward the communication to the Board or to any individual director to whom the communication is addressed unless the communication is of a commercial, frivolous or similarly inappropriate nature, in which case, the General Counsel will discard the communication.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Principles and Practices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believe our corporate governance initiatives comply with the Sarbanes-Oxley Act of 2002 and the rules and regulations of the SEC adopted thereunder. In addition, we believe our corporate governance initiatives comply with the rules of The Nasdaq Stock Market.</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Board has adopted a Code of Business Conduct and Ethics that applies to each of our directors, officers and employees. This code addresses various topics, including:</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rules and regulations, including the Foreign Corrupt Practices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fair dealing;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employment and working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and accepting gifts;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suppliers and fostering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and proper use of Company assets;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government personnel and political contributions.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Board also has adopted a Code of Ethics for our Chief Executive Officer and Senior Financial Officers, including our Chief Financial Officer and principal accounting officer, relating to ethical conduct, conflicts of interest and compliance with law. The Code of Conduct and the Code of Ethics for our Chief Executive Officer and Senior Financial Officers is available to shareholders on the investor relations portion of Ambarella’s website at </w:t>
      </w:r>
      <w:r>
        <w:rPr>
          <w:rFonts w:ascii="Times New Roman" w:cs="Times New Roman" w:eastAsia="Times New Roman" w:hAnsi="Times New Roman"/>
          <w:sz w:val="18"/>
          <w:szCs w:val="18"/>
          <w:i w:val="1"/>
          <w:iCs w:val="1"/>
          <w:color w:val="auto"/>
        </w:rPr>
        <w:t>www.ambarella.com</w:t>
      </w:r>
      <w:r>
        <w:rPr>
          <w:rFonts w:ascii="Times New Roman" w:cs="Times New Roman" w:eastAsia="Times New Roman" w:hAnsi="Times New Roman"/>
          <w:sz w:val="18"/>
          <w:szCs w:val="18"/>
          <w:color w:val="auto"/>
        </w:rPr>
        <w:t>. Any waiver to the Code of Business Conduct for an executive officer or director or any waiver of the Code of Ethics may only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by the Board or a committee of the Board and must be timely disclosed as required by applicable law. We also have implemented whistleblower procedures that establish formal protocols for receiving and handling complaints from employees. Any concerns regarding accounting or auditing matters reported under these procedures will be communicated promptly to our audit committee.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82"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social responsibility is essential for a healthy and equitable corporate culture; one that balances the interests of its various worldwide stakeholders, including employees, shareholders, partners, and customers. We are committed to sound corporate citizenship in the way we manage our people, our business and our impact on society and the environment. Our nominating and corporate governance committee oversees the Company’s development and disclosure of policies and programs relating to corporate responsibility, including environmental and social (“ESG”) matters. Our executive management team is responsible for directly leading the Company’s ESG initiatives, including our Chief Operating Officer, General Counsel, VP of Human Resources and VP of Operations. The nominating and corporate governance committee coordinates with senior management on the periodic presentation of ESG activities to the Board. We are currently focusing our efforts on where we can have the most positive impact on our business and society and we are intent on managing both opportunities and risks that arise from ESG matters.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Workforce</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Innovation is the lifeblood of our company. Since our founding in 2004, we have strived to develop leading-edge technologies using the most advanced semiconductor processes. As a fabless semiconductor company, our people are our most important asset and we rely upon them to sustain our competitive advantage. As of January 31, 2024, we had approximately 915 employees in our worldwide workforce, approximately 75% of whom are engaged in research &amp; development activities. As of January 31, 2024, females represent 19% of management positions, 17% of our technical roles, and 20% of our total workforce. The majority of our employees are from diverse ethnic backgrounds, though this is partly due to a large majority of employees being located outside of the United States, primarily in Asia. Of our employees with a rank of vice-president or higher, approximately 65% are of diverse ethnicity. Five of our Board members are diverse, with two self-identifying as female and three self-identifying as members of an underrepresented minority.</w:t>
      </w:r>
    </w:p>
    <w:p>
      <w:pPr>
        <w:spacing w:after="0" w:line="192"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We are committed to ensuring the human rights of our worldwide workforce and treating all employees with dignity and respect. It is our aim to build a more diverse and inclusive workforce that fosters broad perspectives to solving challenges. We believe our compensation and benefits packages, combined with our culture that promotes teamwork, innovation and immediate hands-on experience, contribute to low employee turnover. We offer a combination of competitive base salary, time-based equity incentives and bonus plans linked to financial and strategic performance that are designed to motivate and reward personnel with annual grants of stock-based and cash-based incentive compensation awards, plus other benefits, in order to increase stockholder value and our success by motivating such individuals to perform to the best of their abilities and achieve both our short and long-term objectives. We emphasize continued employee education and offer tuition reimbursement benefits as part of our overall compensation package.</w:t>
      </w:r>
    </w:p>
    <w:p>
      <w:pPr>
        <w:spacing w:after="0" w:line="17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Employees are encouraged to communicate openly with management without fear of reprisal or harassment. All employees receive an annual performance review. We pursue open communication with our employees through regular town-hall style meetings and the collection of feedback from our employees on a regular basis. We respect the rights of employees to associate freely, seek representation or join workers’ councils in accordance with local laws.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Supply Chain</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committed to promoting the highest level of integrity and ethical standards throughout our supply chain. We have adopted a supplier code of conduct (“Supplier Code”) to ensure our suppliers meet our standards as well as industry expectations and internationally recognized standards regarding: (i) labor and human rights, health and safety, and treatment of employees; (ii) environmental responsibility; (iii) ethical business practices; and (iv) compliance with applicable laws and regulations. Our Supplier Code applies to our suppliers, as well as their employees and subcontractors. In addition, our foundry and primary assembly vendors have committed to the principles of the Responsible Business Alliance, including the protection of human and workers’ rights.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82"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Environment</w:t>
      </w:r>
    </w:p>
    <w:p>
      <w:pPr>
        <w:spacing w:after="0" w:line="11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We acknowledge our responsibility to ensure our products are designed, developed, and supplied in an environmentally safe and sound manner. We are committed to promoting environmental protection and sustainability, from the product design phase, through manufacture, sale and distribution. With innovative process technology and design, we seek to enhance sustainability through the products we provide to our customers. As a fabless semiconductor design company, we do not manufacture our products and, with respect to our direct activities, we believe we leave a relatively small environmental impact compared to the impact of manufacturers or others in our supply chain. Our primary manufacturing partner has made a public commitment to integrating sustainability into its manufacturing process. We aim to improve our own sustainability efforts as we pursue these goals:</w:t>
      </w:r>
    </w:p>
    <w:p>
      <w:pPr>
        <w:spacing w:after="0" w:line="78" w:lineRule="exact"/>
        <w:rPr>
          <w:sz w:val="20"/>
          <w:szCs w:val="20"/>
          <w:color w:val="auto"/>
        </w:rPr>
      </w:pPr>
    </w:p>
    <w:p>
      <w:pPr>
        <w:ind w:left="1080" w:right="1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aim to develop energy-efficient products that are lower power than our competitors and conduct business using sound environmental practices.</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certified as ISO 14001-compliant for the design and manufacture of our products. We also require our third-party manufacturing vendors to maintain ISO 14001 registrations.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partner with companies in our supply chain that have strong environmental policies and we commit to ensuring that these companies comply with global standards and maintain appropriate certifications.</w:t>
      </w:r>
    </w:p>
    <w:p>
      <w:pPr>
        <w:spacing w:after="0" w:line="67" w:lineRule="exact"/>
        <w:rPr>
          <w:rFonts w:ascii="Times New Roman" w:cs="Times New Roman" w:eastAsia="Times New Roman" w:hAnsi="Times New Roman"/>
          <w:sz w:val="18"/>
          <w:szCs w:val="18"/>
          <w:color w:val="auto"/>
        </w:rPr>
      </w:pPr>
    </w:p>
    <w:p>
      <w:pPr>
        <w:ind w:left="1080" w:right="500" w:hanging="424"/>
        <w:spacing w:after="0" w:line="312" w:lineRule="auto"/>
        <w:tabs>
          <w:tab w:leader="none" w:pos="10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support key initiatives to reduce the environmental impact of our products and the manufacturing processes of our supply chain, including compliance with the Restriction of Hazardous Substances Directive (“RoHS”), the European Union’s REACH Directive.</w:t>
      </w:r>
    </w:p>
    <w:p>
      <w:pPr>
        <w:spacing w:after="0" w:line="2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Good Governance</w:t>
      </w:r>
    </w:p>
    <w:p>
      <w:pPr>
        <w:spacing w:after="0" w:line="11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We strive to apply strong ethical, moral and legal principles in every aspect of our business conduct. Adherence to these principles is essential to our efforts to gain and maintain the confidence and support of our employees, our customers, partners with whom we do business, and our shareholders.</w:t>
      </w:r>
    </w:p>
    <w:p>
      <w:pPr>
        <w:spacing w:after="0" w:line="14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obey and comply with all laws and regulations that apply to the Company in the communities where we do business. However, this legal compliance is simply the baseline, establishing the minimum requirements for good corporate conduct. In addition to following the letter of the law, we strive to comport ourselves with integrity and transparency.</w:t>
      </w:r>
    </w:p>
    <w:p>
      <w:pPr>
        <w:spacing w:after="0" w:line="176"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value our shareholders’ governance view and seek to solicit feedback from our shareholders on a regular basis relating to matters that are important to them, including the compensation of our executive officers and directors and ESG topics. Our Chief Executive Officer, Chief Financial Officer and Vice President of Corporate Development and Investor Relations regularly participate in investor conferences and conduct meetings and telephone calls with shareholders.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82"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non-employee directors receive compensation consisting of annual cash retainers for service on our Board and its standing committees, as well as equity grants awarded on an annual recurring basis as they remain a member of the Board. Non-employee directors joining the Board may also receive an equity grant in connection with their appointment to the Board. Our compensation committee periodically reviews compensation for our non-employee directors, including review of competitive practices provided by a third-party compensation consultant. Our compensation committee last modified our non-employee director compensation program in fiscal year 2023. We believe our non-employee director compensation program provides reasonable compensation to our non-employee directors that is appropriately aligned with our peers and is commensurate with the services and contributions of our non-employee directors.</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Cash Retainers</w:t>
      </w:r>
      <w:r>
        <w:rPr>
          <w:rFonts w:ascii="Times New Roman" w:cs="Times New Roman" w:eastAsia="Times New Roman" w:hAnsi="Times New Roman"/>
          <w:sz w:val="18"/>
          <w:szCs w:val="18"/>
          <w:color w:val="auto"/>
        </w:rPr>
        <w:t>. During fiscal year 2024, our non-employee directors received an annual retainer of $45,000, prorated for partial service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and paid in cash at the end of each quarter for service during the previous quarter. The individual acting as lead independent director is paid an additional retainer of $15,000 annually for serving in that role. In addition to the annual retainer for serving on the Board, non-employee directors are also paid cash retainers for committee service as follows: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3940" w:type="dxa"/>
            <w:vAlign w:val="bottom"/>
            <w:vMerge w:val="restart"/>
          </w:tcPr>
          <w:p>
            <w:pPr>
              <w:spacing w:after="0"/>
              <w:rPr>
                <w:sz w:val="12"/>
                <w:szCs w:val="12"/>
                <w:color w:val="auto"/>
              </w:rPr>
            </w:pPr>
          </w:p>
        </w:tc>
        <w:tc>
          <w:tcPr>
            <w:tcW w:w="1760" w:type="dxa"/>
            <w:vAlign w:val="bottom"/>
          </w:tcPr>
          <w:p>
            <w:pPr>
              <w:spacing w:after="0"/>
              <w:rPr>
                <w:sz w:val="12"/>
                <w:szCs w:val="12"/>
                <w:color w:val="auto"/>
              </w:rPr>
            </w:pPr>
          </w:p>
        </w:tc>
        <w:tc>
          <w:tcPr>
            <w:tcW w:w="116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Member</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Chairperson</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394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gridSpan w:val="3"/>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Retainer</w:t>
            </w:r>
          </w:p>
        </w:tc>
        <w:tc>
          <w:tcPr>
            <w:tcW w:w="100" w:type="dxa"/>
            <w:vAlign w:val="bottom"/>
          </w:tcPr>
          <w:p>
            <w:pPr>
              <w:spacing w:after="0"/>
              <w:rPr>
                <w:sz w:val="15"/>
                <w:szCs w:val="15"/>
                <w:color w:val="auto"/>
              </w:rPr>
            </w:pPr>
          </w:p>
        </w:tc>
        <w:tc>
          <w:tcPr>
            <w:tcW w:w="7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Retainer</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Audit Committee</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10,000</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For fiscal year 2024, the equity award compensation structure for our non-employee directors remained the same as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since fiscal year 2017. Each continuing director received a restricted stock unit award with a grant date fair value (determined in accordance with U.S. generally accepted accounting principles) of approximately $200,000 vesting quarterly over 12 months following the vesting commencement date of September 15, 2023, subject to continued service through the applicable vesting dates. Accordingly, on August 31, 2023, each of the non-employee directors who were then serving on the Board received a restricted stock unit award covering 3,218 shares.</w:t>
      </w:r>
    </w:p>
    <w:p>
      <w:pPr>
        <w:spacing w:after="0" w:line="18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Outstanding equity awards granted to our non-employee directors are subject to the terms and conditions of our 2021 Equity Incentive Plan (the “Plan”) which provides a fiscal year annual limit of $500,000 on the total value of equity compensation and cash retainers that may be paid to each continuing non-employee director, with this limit increased to $1,000,000 in the fiscal year of a new director’s initial service as a non-employee director. For these purposes, the value of an equity compensation award is determined as grant date fair value, which is determined in accordance with U.S. generally accepted accounting principles. Any equity awards or other compensation provided to an individual for his or her services as an employee, or for his or her services as a consultant other than as a non-employee director, do not count toward these limits.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Under the terms of the Plan, if awards, including those of our non-employee directors, are not assumed or substituted for in the event of a merger of change in control of the Company, all awards accelerate in full, and for awards with performance-based vesting, all performance goals or other vesting criteria are deemed achieved at 100% of target levels and all other terms and conditions met. The Plan also provides that if equity awards granted to non-employee directors are assumed or substituted for in a merger or change in control but, on or after such assumption or substitution, the individual’s status as a director (or director of the successor) is terminated other than by a voluntary termination not requested by the acquirer, the non-employee director’s equity awards immediately vest in full, and for awards with performance-based vesting (if any), all performance goals or other vesting criteria are deemed achieved at 100% of target levels and all other terms and conditions met.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Ownership Guidelines. </w:t>
      </w:r>
      <w:r>
        <w:rPr>
          <w:rFonts w:ascii="Times New Roman" w:cs="Times New Roman" w:eastAsia="Times New Roman" w:hAnsi="Times New Roman"/>
          <w:sz w:val="18"/>
          <w:szCs w:val="18"/>
          <w:color w:val="auto"/>
        </w:rPr>
        <w:t>The Board believes that all directors should maintain a meaningful personal financial stake in the Company to align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long-term interests with those of our shareholders. We maintain stock ownership guidelines that apply to our named executive officers and non-employee directors. This policy requires non-employee directors to attain and maintain a minimum share ownership level equal to at least five times the annual cash retainer, i.e., $225,000 within five years of becoming a director. The stock ownership guidelines for our named executive officers (including those who are employee directors) are set forth in the section titled “Executive Compensation – Compensation Discussion &amp; Analysis – Stock Ownership Guidelines” below. As of January 31, 2024, all of our non-employee directors and employee directors satisfied the equity ownership guidelines.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for Fiscal Year 2024</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paid or accrued by us to our current non-employee directors during fiscal year 2024. The table excludes Mr. Kohn and Dr. Wang, who did not receive any additional compensation from us in their roles as a director because they are employees of Ambarella.</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32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1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8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5"/>
        </w:trPr>
        <w:tc>
          <w:tcPr>
            <w:tcW w:w="380" w:type="dxa"/>
            <w:vAlign w:val="bottom"/>
            <w:tcBorders>
              <w:bottom w:val="single" w:sz="8" w:color="auto"/>
            </w:tcBorders>
            <w:vMerge w:val="continue"/>
          </w:tcPr>
          <w:p>
            <w:pPr>
              <w:spacing w:after="0"/>
              <w:rPr>
                <w:sz w:val="13"/>
                <w:szCs w:val="13"/>
                <w:color w:val="auto"/>
              </w:rPr>
            </w:pPr>
          </w:p>
        </w:tc>
        <w:tc>
          <w:tcPr>
            <w:tcW w:w="3680" w:type="dxa"/>
            <w:vAlign w:val="bottom"/>
            <w:vMerge w:val="continue"/>
          </w:tcPr>
          <w:p>
            <w:pPr>
              <w:spacing w:after="0"/>
              <w:rPr>
                <w:sz w:val="13"/>
                <w:szCs w:val="13"/>
                <w:color w:val="auto"/>
              </w:rPr>
            </w:pPr>
          </w:p>
        </w:tc>
        <w:tc>
          <w:tcPr>
            <w:tcW w:w="2260" w:type="dxa"/>
            <w:vAlign w:val="bottom"/>
          </w:tcPr>
          <w:p>
            <w:pPr>
              <w:spacing w:after="0"/>
              <w:rPr>
                <w:sz w:val="13"/>
                <w:szCs w:val="13"/>
                <w:color w:val="auto"/>
              </w:rPr>
            </w:pPr>
          </w:p>
        </w:tc>
        <w:tc>
          <w:tcPr>
            <w:tcW w:w="106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Cash ($)</w:t>
            </w:r>
          </w:p>
        </w:tc>
        <w:tc>
          <w:tcPr>
            <w:tcW w:w="640" w:type="dxa"/>
            <w:vAlign w:val="bottom"/>
          </w:tcPr>
          <w:p>
            <w:pPr>
              <w:ind w:left="6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)(1)(2)</w:t>
            </w:r>
          </w:p>
        </w:tc>
        <w:tc>
          <w:tcPr>
            <w:tcW w:w="5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De Greef-Safft</w:t>
            </w:r>
          </w:p>
        </w:tc>
        <w:tc>
          <w:tcPr>
            <w:tcW w:w="2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gridSpan w:val="2"/>
            <w:vMerge w:val="continue"/>
            <w:shd w:val="clear" w:color="auto" w:fill="CCEEFF"/>
          </w:tcPr>
          <w:p>
            <w:pPr>
              <w:spacing w:after="0"/>
              <w:rPr>
                <w:sz w:val="17"/>
                <w:szCs w:val="17"/>
                <w:color w:val="auto"/>
              </w:rPr>
            </w:pPr>
          </w:p>
        </w:tc>
        <w:tc>
          <w:tcPr>
            <w:tcW w:w="226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57,500</w:t>
            </w:r>
          </w:p>
        </w:tc>
        <w:tc>
          <w:tcPr>
            <w:tcW w:w="4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199,999(3)</w:t>
            </w:r>
          </w:p>
        </w:tc>
        <w:tc>
          <w:tcPr>
            <w:tcW w:w="700" w:type="dxa"/>
            <w:vAlign w:val="bottom"/>
            <w:tcBorders>
              <w:right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257,499</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Hsaio-Wuen Hon</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42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199,999(4)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252,499</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Chenming C. Hu</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199,999(5)</w:t>
            </w:r>
          </w:p>
        </w:tc>
        <w:tc>
          <w:tcPr>
            <w:tcW w:w="7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262,499</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B. Paisley</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42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199,999(6)</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269,999</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 Jeffrey Richardson</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199,999(7)</w:t>
            </w:r>
          </w:p>
        </w:tc>
        <w:tc>
          <w:tcPr>
            <w:tcW w:w="7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274,999</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M. Schwarting</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42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199,999(8)</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259,999</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W. Verhalen</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199,999(9)</w:t>
            </w:r>
          </w:p>
        </w:tc>
        <w:tc>
          <w:tcPr>
            <w:tcW w:w="7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269,999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00" w:hanging="424"/>
        <w:spacing w:after="0" w:line="261"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in this column represent the aggregate full grant date fair value calculated in accordance with FASB ASC Topic 718 for stock awards granted during the fiscal year ended January 31, 2024.</w:t>
      </w: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 awards for 3,218 ordinary shares granted on August 31, 2023 to the then serving non-employee directors.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2024, Ms. De Greef-Safft held an outstanding restricted stock unit award covering 2,414 shares.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2024, Dr. Hon held an outstanding restricted stock unit award covering 2,414 shares.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2024, Dr. Hu held an outstanding restricted stock unit award covering 2,414 shares.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2024, Mr. Paisley held an outstanding restricted stock unit award covering 2,414 shares.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2024, Mr. Richardson held an outstanding restricted stock unit award covering 2,414 shares.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2024, Ms. Schwarting held an outstanding restricted stock unit award covering 2,414 shares.</w:t>
      </w:r>
    </w:p>
    <w:p>
      <w:pPr>
        <w:spacing w:after="0" w:line="9"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2024, Mr. Verhalen held an unexercised option to purchase 5,555 shares, and an outstanding restricted stock unit award covering 2,414 shares.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w:t>
      </w:r>
    </w:p>
    <w:p>
      <w:pPr>
        <w:spacing w:after="0" w:line="22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has appointed PricewaterhouseCoopers LLP as Ambarella’s independent registered public accounting firm, or independent auditors, for the fiscal year ending January 31, 2025, and has further directed that management submit the appointment of independent auditors for ratification by the shareholders at the Annual Meeting. PricewaterhouseCoopers LLP has audited Ambarella’s financial statements since fiscal year 2007. Representatives of PricewaterhouseCoopers LLP are expected to be present at the Annual Meeting. They will have an opportunity to make a statement if they so desire and will be available to respond to appropriate questions.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Neither Ambarella’s Articles of Association nor other governing documents or law require shareholder ratification of the appointment of PricewaterhouseCoopers LLP as Ambarella’s independent auditors. However, the audit committee is submitting the appointment of PricewaterhouseCoopers LLP to shareholders for ratification as a matter of good corporate practice. If the shareholders fail to ratify the appointment, the audit committee will reconsider whether or not to retain that firm. Even if the appointment is ratified, the audit committee in its discretion may direct the appointment of different independent auditors at any time during the year if they determine that such a change would be in the best interests of Ambarella and its shareholders.</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and entitled to vote at the Annual Meeting will be required to ratify the appointment of PricewaterhouseCoopers LLP. Abstentions will be counted toward the tabulation of votes cast on proposals presented to the shareholders and will have the same effect as negative votes.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Ambarella by PricewaterhouseCoopers LLP for the fiscal years ended January 31, 2023 and 2024, respectively, all of which were approved by the audit committee:</w:t>
      </w:r>
    </w:p>
    <w:p>
      <w:pPr>
        <w:spacing w:after="0" w:line="18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January 31,</w:t>
      </w:r>
    </w:p>
    <w:tbl>
      <w:tblPr>
        <w:tblLayout w:type="fixed"/>
        <w:tblInd w:w="1440" w:type="dxa"/>
        <w:tblCellMar>
          <w:top w:w="0" w:type="dxa"/>
          <w:left w:w="0" w:type="dxa"/>
          <w:bottom w:w="0" w:type="dxa"/>
          <w:right w:w="0" w:type="dxa"/>
        </w:tblCellMar>
      </w:tblPr>
      <w:tr>
        <w:trPr>
          <w:trHeight w:val="117"/>
        </w:trPr>
        <w:tc>
          <w:tcPr>
            <w:tcW w:w="6100" w:type="dxa"/>
            <w:vAlign w:val="bottom"/>
          </w:tcPr>
          <w:p>
            <w:pPr>
              <w:spacing w:after="0"/>
              <w:rPr>
                <w:sz w:val="10"/>
                <w:szCs w:val="10"/>
                <w:color w:val="auto"/>
              </w:rPr>
            </w:pPr>
          </w:p>
        </w:tc>
        <w:tc>
          <w:tcPr>
            <w:tcW w:w="940" w:type="dxa"/>
            <w:vAlign w:val="bottom"/>
            <w:tcBorders>
              <w:top w:val="single" w:sz="8" w:color="auto"/>
            </w:tcBorders>
          </w:tcPr>
          <w:p>
            <w:pPr>
              <w:jc w:val="right"/>
              <w:ind w:right="236"/>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36"/>
              <w:spacing w:after="0" w:line="117" w:lineRule="exact"/>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0"/>
                <w:szCs w:val="10"/>
                <w:color w:val="auto"/>
              </w:rPr>
            </w:pPr>
          </w:p>
        </w:tc>
      </w:tr>
      <w:tr>
        <w:trPr>
          <w:trHeight w:val="173"/>
        </w:trPr>
        <w:tc>
          <w:tcPr>
            <w:tcW w:w="6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1,327,600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1,209,500</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146,000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4,185</w:t>
            </w:r>
          </w:p>
        </w:tc>
      </w:tr>
      <w:tr>
        <w:trPr>
          <w:trHeight w:val="27"/>
        </w:trPr>
        <w:tc>
          <w:tcPr>
            <w:tcW w:w="6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Fees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1,475,600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1,259,685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2" w:lineRule="exact"/>
        <w:rPr>
          <w:sz w:val="20"/>
          <w:szCs w:val="20"/>
          <w:color w:val="auto"/>
        </w:rPr>
      </w:pPr>
    </w:p>
    <w:p>
      <w:pPr>
        <w:ind w:left="540" w:hanging="424"/>
        <w:spacing w:after="0" w:line="258"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The aggregate fees billed for the fiscal years ended January 31, 2024 and 2023 were for professional services rendered for the audits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consolidated financial statements and our internal control over financial reporting, the review of our interim consolidated financial statements included in quarterly reports, and other matters related to the SEC.</w:t>
      </w:r>
    </w:p>
    <w:p>
      <w:pPr>
        <w:ind w:left="54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The aggregate fees billed for the fiscal years ended January 31, 2024 and 2023 were for tax advisory and tax compliance services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tax research and tax planning services in the United States and foreign countries in which we do business.</w:t>
      </w: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consists of fees for access to online accounting and tax research software licenses.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auditors,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auditors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8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the services described above by PricewaterhouseCoopers LLP is compatible with maintaining the principal accountant’s independence.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Ratification of the appointment of PricewaterhouseCoopers LLP requires the affirmative vote of a majority of the shares present and voting at the Annual Meeting in person or by proxy. Abstentions will have the effect of a vote against this proposal, and broker non-votes will have no effect. Unless otherwise indicated, proxies received will be voted “FOR” ratification of the appointment. In the event ratification is not obtained, the audit committee will review its future appointment of our independent registered public accountants.</w:t>
      </w:r>
    </w:p>
    <w:p>
      <w:pPr>
        <w:spacing w:after="0" w:line="17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PricewaterhouseCoopers LLP as our independent registered public accounting firm.</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40"/>
          </w:cols>
          <w:pgMar w:left="320" w:top="482" w:right="5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r>
        <w:rPr>
          <w:rFonts w:ascii="Times New Roman" w:cs="Times New Roman" w:eastAsia="Times New Roman" w:hAnsi="Times New Roman"/>
          <w:sz w:val="26"/>
          <w:szCs w:val="26"/>
          <w:b w:val="1"/>
          <w:bCs w:val="1"/>
          <w:color w:val="auto"/>
          <w:vertAlign w:val="superscript"/>
        </w:rPr>
        <w:t>1</w:t>
      </w:r>
    </w:p>
    <w:p>
      <w:pPr>
        <w:spacing w:after="0" w:line="13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provides assistance to the Board of Directors in fulfilling its legal and fiduciary obligations in matters involving Ambarella’s accounting, auditing, financial reporting, internal control and legal compliance functions by approving the services performed by Ambarella’s independent accountants and reviewing their reports regarding Ambarella’s accounting practices and systems of internal accounting controls as set forth in a written charter adopted by the Board. Ambarella’s management is responsible for preparing Ambarella’s financial statements and the independent registered public accountants are responsible for auditing those financial statements. The audit committee is responsible for overseeing the conduct of these activities by Ambarella’s management and the independent registered public accountants.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this context, the audit committee has met and held discussions with management and the independent registered public accountants. Management represented to the audit committee that Ambarella’s consolidated financial statements were prepared in accordance with generally accepted accounting principles, and the audit committee has reviewed and discussed the consolidated financial statements with management and the independent registered public accountants. The audit committee has discussed with the independent registered public accountants matters required to be discussed by the Public Company Accounting Oversight Board and the SEC. In addition, the independent registered public accountants provided to the audit committee the written disclosures required by Public Company Accounting Oversight Board Rule 3526 (Communication with Audit Committees Concerning Independence) and the audit committee and the independent registered public accountants have discussed such accountants’ independence from Ambarella and its management. The audit committee has discussed with Ambarella’s internal and independent registered public accountants, with and without management present, their evaluations of Ambarella’s internal accounting controls and the overall quality of Ambarella’s financial reporting.</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with management and the independent registered public accountants referred to above, the audit committee recommended to the Board, and the Board approved, the inclusion of the audited financial statements in Ambarella’s Annual Report on Form 10-K for the fiscal year ended January 31, 2024, for filing with the SEC.</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Christopher B. Paisley (Chairman)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Chenming C. Hu</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 Jeffrey Richardson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Elizabeth M. Schwarting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ind w:left="340" w:right="220" w:hanging="224"/>
        <w:spacing w:after="0" w:line="208" w:lineRule="auto"/>
        <w:tabs>
          <w:tab w:leader="none" w:pos="34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material in this report does not constitute soliciting material and shall not be deemed filed or incorporated by reference into any other filing by Ambarella under the Securities Act of 1933 or the Securities Exchange Act of 1934.</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ADVISORY VOTE TO APPROVE EXECUTIVE COMPENSATION</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allows our shareholders to vote to approve, on an advisory basis, the compensation of our named executive officers. At our annual meeting of shareholders held in 2021, the Company’s shareholders approved, on an advisory basis, soliciting a shareholder advisory vote on the compensation of our named executive officers on an annual basis and the Company holds such advisory votes on the compensation of our named executive officers annually. Accordingly, this year we again are asking our shareholders to provide an advisory vote to approve the compensation of our named executive officers, including as disclosed in the Compensation Discussion and Analysis section, along with the accompanying compensation tables and narrative disclosures as described in this Proxy Statement. This proposal, commonly known as a “say-on-pay” proposal, gives our shareholders the opportunity to express their views on the compensation of our named executive officers.</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“say-on-pay” vote is advisory, and as such is not binding on the Company, but it does provide the compensation committee with valuable information about shareholder opinion of our executive compensation policies and programs for consideration when determining executive compensation in the future. After the “say on pay” vote at this year’s annual meeting of shareholders, we anticipate that the next “say-on-pay” vote will be scheduled to occur at the Company’s annual meeting of shareholders in 2025.</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Please see the Compensation Discussion and Analysis section of this Proxy Statement beginning on page 27, the accompanying compensation tables and the narrative disclosures for greater detail about our executive compensation programs, including information about the fiscal year 2024 compensation of our named executive officers. We believe that our executive compensation programs have been effective in achieving long-term alignment of management and shareholder interests, consistent with the Company’s philosophy on pay and performance.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ask that you vote “FOR” the following resolution:</w:t>
      </w:r>
    </w:p>
    <w:p>
      <w:pPr>
        <w:spacing w:after="0" w:line="117"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RESOLVED: That the shareholders of Ambarella, Inc. hereby approve, on an advisory basis, the compensation of the named executive officers, as disclosed in the Proxy Statement furnished for the 2024 Annual Meeting of Shareholders pursuant to the compensation disclosure rules and regulations of the U.S. Securities and Exchange Commission, including the Compensation Discussion and Analysis, compensation tables and the narrative discussion.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Approval, on an advisory basis, of named executive officer compensation requires the affirmative vote of a majority of the shares present and voting at the Annual Meeting in person or by proxy. Abstentions will have the effect of a vote against this proposal, and broker non-votes will have no effect. Unless otherwise indicated, proxies received will be voted “FOR” approval, on an advisory basis, of named executive officer compensation.</w:t>
      </w:r>
    </w:p>
    <w:p>
      <w:pPr>
        <w:spacing w:after="0" w:line="154"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on an advisory basis, of the compensation of our named executive officers as disclosed in this Proxy Statement.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our current executive officers and their respective ages as of March 31, 2024. There are no family relationships among any of our directors or executive officers.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2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8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0"/>
        </w:trPr>
        <w:tc>
          <w:tcPr>
            <w:tcW w:w="44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Feng-Ming (Fermi) Wang, Ph.D.</w:t>
            </w:r>
          </w:p>
        </w:tc>
        <w:tc>
          <w:tcPr>
            <w:tcW w:w="2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Chairman of the Board of Directors,</w:t>
            </w:r>
          </w:p>
        </w:tc>
        <w:tc>
          <w:tcPr>
            <w:tcW w:w="6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2"/>
              </w:rPr>
              <w:t>President</w:t>
            </w:r>
          </w:p>
        </w:tc>
        <w:tc>
          <w:tcPr>
            <w:tcW w:w="2700" w:type="dxa"/>
            <w:vAlign w:val="bottom"/>
            <w:tcBorders>
              <w:top w:val="single" w:sz="8" w:color="CCEEFF"/>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and Chief Executive Officer</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A. Young</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6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Kohn</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6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Technology Officer and Director</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W. Lee</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6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Chi-Hong (John) Ju</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6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Sr. Vice President, Systems</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Yun-Lung (Michael) Chen</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6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Vice President, Business Development</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Day</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6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Vice President, Marketing and Business Development</w:t>
            </w:r>
          </w:p>
        </w:tc>
      </w:tr>
    </w:tbl>
    <w:p>
      <w:pPr>
        <w:spacing w:after="0" w:line="194"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Feng-Ming (Fermi) Wang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Leslie Kohn</w:t>
      </w:r>
      <w:r>
        <w:rPr>
          <w:rFonts w:ascii="Times New Roman" w:cs="Times New Roman" w:eastAsia="Times New Roman" w:hAnsi="Times New Roman"/>
          <w:sz w:val="18"/>
          <w:szCs w:val="18"/>
          <w:color w:val="auto"/>
        </w:rPr>
        <w:t>. For brief biographies of Dr. Wang and Mr. Kohn, please see “Proposal 1 – Election of Class 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above.</w:t>
      </w:r>
    </w:p>
    <w:p>
      <w:pPr>
        <w:spacing w:after="0" w:line="155"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A. Young </w:t>
      </w:r>
      <w:r>
        <w:rPr>
          <w:rFonts w:ascii="Times New Roman" w:cs="Times New Roman" w:eastAsia="Times New Roman" w:hAnsi="Times New Roman"/>
          <w:sz w:val="18"/>
          <w:szCs w:val="18"/>
          <w:color w:val="auto"/>
        </w:rPr>
        <w:t>has served as our Chief Financial Officer since February 2024, following the retirement of Mr. White. Mr. Young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Finance from December 2019 to January 2024 and as Corporate Controller from March 2017 to December 2019. Prior to joining Ambarella, Mr. Young served in a variety of finance related roles at Mellanox Technologies, a supplier of computer networking products, from 2009 to 2016, including most recently as Corporate Controller. Mr. Young holds a B.A. degree from Brigham Young University and an M.S. in accountancy from San Jose State University.</w:t>
      </w:r>
    </w:p>
    <w:p>
      <w:pPr>
        <w:spacing w:after="0" w:line="179" w:lineRule="exact"/>
        <w:rPr>
          <w:sz w:val="20"/>
          <w:szCs w:val="20"/>
          <w:color w:val="auto"/>
        </w:rPr>
      </w:pPr>
    </w:p>
    <w:p>
      <w:pPr>
        <w:ind w:left="120" w:right="3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 W. Lee </w:t>
      </w:r>
      <w:r>
        <w:rPr>
          <w:rFonts w:ascii="Times New Roman" w:cs="Times New Roman" w:eastAsia="Times New Roman" w:hAnsi="Times New Roman"/>
          <w:sz w:val="18"/>
          <w:szCs w:val="18"/>
          <w:color w:val="auto"/>
        </w:rPr>
        <w:t>was a member of the Company’s founding team, and has served as Chief Operating Officer since September 2021. Before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appointment as Chief Operating Officer, Mr. Lee served as Vice President, VLSI since February 2004. Prior to joining the Company, Mr. Lee held management-level positions at Afara Websystems, Inc., a developer of throughput-oriented microprocessor technology that was acquired by Sun Microsystems in 2002, and Intel Corporation, a semiconductor company. Mr. Lee holds B.S. and M.S. degrees in electrical engineering from Cornell University.</w:t>
      </w:r>
    </w:p>
    <w:p>
      <w:pPr>
        <w:spacing w:after="0" w:line="179"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Chi-Hong (John) Ju </w:t>
      </w:r>
      <w:r>
        <w:rPr>
          <w:rFonts w:ascii="Times New Roman" w:cs="Times New Roman" w:eastAsia="Times New Roman" w:hAnsi="Times New Roman"/>
          <w:sz w:val="18"/>
          <w:szCs w:val="18"/>
          <w:color w:val="auto"/>
        </w:rPr>
        <w:t>was a member of the Company’s founding team, and has served as Sr. Vice President, Systems since September 2021.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that, Mr. Ju served as Vice President, Software since February 2004. Before joining the Company, Mr. Ju held management-level positions at Afara Websystems, C-Cube Microsystems, Inc., a developer of digital video processors, and Sarnoff Research Lab, a pioneer of video technology. Mr. Ju holds a B.S. degree in electrical engineering from National Taiwan University and a M.S. degree in electrical and computer engineering from Princeton University.</w:t>
      </w:r>
    </w:p>
    <w:p>
      <w:pPr>
        <w:spacing w:after="0" w:line="1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Yun-Lung (Michael) Chen </w:t>
      </w:r>
      <w:r>
        <w:rPr>
          <w:rFonts w:ascii="Times New Roman" w:cs="Times New Roman" w:eastAsia="Times New Roman" w:hAnsi="Times New Roman"/>
          <w:sz w:val="18"/>
          <w:szCs w:val="18"/>
          <w:color w:val="auto"/>
        </w:rPr>
        <w:t>has served as our Vice President, Business Development since June 2011, and was Sr. Director of Sales from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2005 to June 2011. Prior to joining Ambarella, Mr. Chen was Director of Sales for Marvell Technology, a semiconductor company, from December 2002 to October 2003. From October 1997 to October 2002, Mr. Chen served as Director of Sales for Wintech Microelectronics, a distributor of electronics. Mr. Chen holds a B.S. degree in industrial engineering from Tung Hai University in Taiwan.</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Day </w:t>
      </w:r>
      <w:r>
        <w:rPr>
          <w:rFonts w:ascii="Times New Roman" w:cs="Times New Roman" w:eastAsia="Times New Roman" w:hAnsi="Times New Roman"/>
          <w:sz w:val="18"/>
          <w:szCs w:val="18"/>
          <w:color w:val="auto"/>
        </w:rPr>
        <w:t>has served as our Vice President, Marketing and Business Development since March 2010. Prior to joining Ambarella, Mr. Day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President and Chief Executive Officer of Mobilygen, Inc., a video compression company from March 2007 to October 2008, prior to acquisition by Maxim Integrated Products, Inc., and then served as Executive Director of Business Management of Maxim until March 2010. From February 2002 to February 2007, Mr. Day served as General Manager of Media Processing at NXP Semiconductors N.V., formerly Philips Semiconductor. From February 1998 to May 2001, Mr. Day served as Senior Director of Marketing for C-Cube Microsystems. Prior to joining C-Cube Microsystems, Mr. Day held sales and marketing positions at AuraVision, Inc., Motorola, Inc., and Hitachi, Ltd. Mr. Day holds a B.S. degree in computer and microprocessor systems from Essex University in the United Kingdom, and an M.B.A. from Santa Clara University.</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discusses the compensation programs and policies for our named executive officers (“NEOs”) for fiscal year 2024, ended January 31, 2024. Our NEOs for fiscal year 2024 were: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w w:val="94"/>
              </w:rPr>
              <w:t>Feng</w:t>
            </w:r>
          </w:p>
        </w:tc>
        <w:tc>
          <w:tcPr>
            <w:tcW w:w="37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-Ming (Fermi) Wang, Ph.D.</w:t>
            </w:r>
          </w:p>
        </w:tc>
        <w:tc>
          <w:tcPr>
            <w:tcW w:w="4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60" w:type="dxa"/>
            <w:vAlign w:val="bottom"/>
            <w:vMerge w:val="continue"/>
          </w:tcPr>
          <w:p>
            <w:pPr>
              <w:spacing w:after="0"/>
              <w:rPr>
                <w:sz w:val="14"/>
                <w:szCs w:val="14"/>
                <w:color w:val="auto"/>
              </w:rPr>
            </w:pPr>
          </w:p>
        </w:tc>
        <w:tc>
          <w:tcPr>
            <w:tcW w:w="3740" w:type="dxa"/>
            <w:vAlign w:val="bottom"/>
            <w:vMerge w:val="continue"/>
          </w:tcPr>
          <w:p>
            <w:pPr>
              <w:spacing w:after="0"/>
              <w:rPr>
                <w:sz w:val="14"/>
                <w:szCs w:val="14"/>
                <w:color w:val="auto"/>
              </w:rPr>
            </w:pPr>
          </w:p>
        </w:tc>
        <w:tc>
          <w:tcPr>
            <w:tcW w:w="6580" w:type="dxa"/>
            <w:vAlign w:val="bottom"/>
            <w:gridSpan w:val="3"/>
          </w:tcPr>
          <w:p>
            <w:pPr>
              <w:ind w:left="1740"/>
              <w:spacing w:after="0" w:line="171" w:lineRule="exact"/>
              <w:rPr>
                <w:sz w:val="20"/>
                <w:szCs w:val="20"/>
                <w:color w:val="auto"/>
              </w:rPr>
            </w:pPr>
            <w:r>
              <w:rPr>
                <w:rFonts w:ascii="Times New Roman" w:cs="Times New Roman" w:eastAsia="Times New Roman" w:hAnsi="Times New Roman"/>
                <w:sz w:val="18"/>
                <w:szCs w:val="18"/>
                <w:color w:val="auto"/>
                <w:w w:val="99"/>
              </w:rPr>
              <w:t>Chairman of the Board of Directors, President and Chief Executive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58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 White</w:t>
            </w:r>
          </w:p>
        </w:tc>
        <w:tc>
          <w:tcPr>
            <w:tcW w:w="658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Former Chief Financial Officer</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w:t>
            </w:r>
          </w:p>
        </w:tc>
        <w:tc>
          <w:tcPr>
            <w:tcW w:w="658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658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Chi-Hong (John) Ju</w:t>
            </w:r>
          </w:p>
        </w:tc>
        <w:tc>
          <w:tcPr>
            <w:tcW w:w="658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Sr. Vice President, Systems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describes the material elements of our executive compensation during fiscal year 2024. It also provides an overview of our executive compensation philosophy and objectives, and analyzes how and why the Compensation Committee of our Board of Directors (the “compensation committee”) arrived at the specific compensation decisions for our NEOs for fiscal year 2024. The information contained in this Compensation Discussion and Analysis should be read in connection with the compensation tables below, which provide a detailed view of the compensation paid to our NEOs in fiscal year 2024. Mr. White retired from the Company in February 2024.</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Who We Are</w:t>
      </w:r>
    </w:p>
    <w:p>
      <w:pPr>
        <w:spacing w:after="0" w:line="119" w:lineRule="exact"/>
        <w:rPr>
          <w:sz w:val="20"/>
          <w:szCs w:val="20"/>
          <w:color w:val="auto"/>
        </w:rPr>
      </w:pPr>
    </w:p>
    <w:p>
      <w:pPr>
        <w:ind w:left="120" w:firstLine="440"/>
        <w:spacing w:after="0" w:line="244" w:lineRule="auto"/>
        <w:rPr>
          <w:sz w:val="20"/>
          <w:szCs w:val="20"/>
          <w:color w:val="auto"/>
        </w:rPr>
      </w:pPr>
      <w:r>
        <w:rPr>
          <w:rFonts w:ascii="Times New Roman" w:cs="Times New Roman" w:eastAsia="Times New Roman" w:hAnsi="Times New Roman"/>
          <w:sz w:val="18"/>
          <w:szCs w:val="18"/>
          <w:color w:val="auto"/>
        </w:rPr>
        <w:t>Ambarella is a leading developer of low-power system-on-a-chip, or SoC, semiconductors providing powerful artificial intelligence, or AI, processing, advanced image signal processing and high-resolution video compression for cameras in a variety of markets. Our technologies make cameras smarter - enabling features like person detection, object classification, analytics, and more - performing complex data analysis in real time, delivering high-quality imagery, and preserving vital system resources such as power and network bandwidth. In the last several years, we have focused on creating advanced AI technology that enables edge devices to visually perceive the environment and make decisions based on the data collected from cameras and other types of sensors. This category of AI technology is known as computer vision, or CV, and our CV SoCs integrate our state-of-the-art video processor technology together with our recently developed deep learning neural network processing technology, which we refer to as CVflow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latest third generation CVflow technology enables us to address incremental and computationally intense AI applications for deep fusion, deep planning, and large language models (LLMs), as well as to efficiently process transformer AI networks. Our most recently introduced systems-on-a-chip (“SoCs”) are optimized for the requirements of the edge inference market to provide highly accurate results, significant processing power, small form factor and minimal latency while consuming very low amounts of power and simultaneously delivering both human viewing and computer vision functionality, often while supporting multiple cameras and multiple AI inference applications with a single SoC incorporated in an end-point device. This technology is creating opportunities for us to address a broader range of markets and applications.</w:t>
      </w:r>
    </w:p>
    <w:p>
      <w:pPr>
        <w:spacing w:after="0" w:line="3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Fiscal Year 2024 Business Highlights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achieved several notable milestones during fiscal year 2024 in our ongoing transformation into an AI edge processor company. Business highlights from fiscal year 2024 included:</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approximately 58% of our total revenue from CV solutions, up from approximately 40% in fiscal year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total annual revenue of $226.5 million;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multiple customer design wins for automotive ADAS and Level 2+ autonomy applications;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broad customer sampling of our CV3-AD685 SoC, targeting Level 3 and above autonomy;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our N1 SoC, supporting generative AI applications for edge devices, including support of large language models (LLMs);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our latest automotive software stack for L2+ and higher autonomous driving applications, including perception, fusion and planning layers as well as integrated radar algorithms;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our CV3-AD655 and CV3-AD635 domain controller SoCs, targeting ADAS and Level 2+ autonomy applications in passenger vehicle applications.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Fiscal Year 2024 Executive Compensation Highlights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executive compensation programs support our long-term strategy, and furthermore, adapt and pivot based on business needs and changes in our strategy. Continuity of senior leadership, as well as of our engineering teams, continues to be critical and the compensation committee has sought to adapt our compensation programs around strategic initiatives that are critical to our future success. Our industry is characterized by high demand and intense competition for talent, including engineering personnel and management talent. As we have transitioned into AI computer vision technology, the pool of qualified candidates has become more limited, particularly in Silicon Valley, and we increasingly compete for talent with companies much larger than us and our compensation peer group of companies. As AI has proliferated in the past couple of years, the competition for talent has intensified. We have relied significantly on equity compensation, in the form of restricted stock units (“RSUs”) for employees and RSUs and performance-based restricted stock units (“PRSUs”) for executives, to retain and motivate employees and executives as our transformation continues.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compensation highlights from fiscal year 2024 include:</w:t>
      </w:r>
    </w:p>
    <w:p>
      <w:pPr>
        <w:spacing w:after="0" w:line="127" w:lineRule="exact"/>
        <w:rPr>
          <w:sz w:val="20"/>
          <w:szCs w:val="20"/>
          <w:color w:val="auto"/>
        </w:rPr>
      </w:pPr>
    </w:p>
    <w:p>
      <w:pPr>
        <w:ind w:left="1080" w:right="720" w:hanging="424"/>
        <w:spacing w:after="0" w:line="28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Change in NEO Base Salaries: </w:t>
      </w:r>
      <w:r>
        <w:rPr>
          <w:rFonts w:ascii="Times New Roman" w:cs="Times New Roman" w:eastAsia="Times New Roman" w:hAnsi="Times New Roman"/>
          <w:sz w:val="18"/>
          <w:szCs w:val="18"/>
          <w:color w:val="auto"/>
        </w:rPr>
        <w:t>In recognition of anticipated lower revenue in fiscal year 2024, the compensation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base salaries of our chief executive officer (“CEO”) and other NEOs at fiscal year 2023 levels.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Bonus Awards:</w:t>
      </w:r>
    </w:p>
    <w:p>
      <w:pPr>
        <w:spacing w:after="0" w:line="134" w:lineRule="exact"/>
        <w:rPr>
          <w:rFonts w:ascii="Times New Roman" w:cs="Times New Roman" w:eastAsia="Times New Roman" w:hAnsi="Times New Roman"/>
          <w:sz w:val="18"/>
          <w:szCs w:val="18"/>
          <w:b w:val="1"/>
          <w:bCs w:val="1"/>
          <w:color w:val="auto"/>
        </w:rPr>
      </w:pPr>
    </w:p>
    <w:p>
      <w:pPr>
        <w:ind w:left="1540" w:right="280" w:hanging="331"/>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2024, the total size of the target bonus pool decreased by approximately -15% over fiscal year 2023 to reflect lower anticipated revenue and operating profit in the Company’s annual operating plan.</w:t>
      </w:r>
    </w:p>
    <w:p>
      <w:pPr>
        <w:spacing w:after="0" w:line="67" w:lineRule="exact"/>
        <w:rPr>
          <w:rFonts w:ascii="Times New Roman" w:cs="Times New Roman" w:eastAsia="Times New Roman" w:hAnsi="Times New Roman"/>
          <w:sz w:val="18"/>
          <w:szCs w:val="18"/>
          <w:color w:val="auto"/>
        </w:rPr>
      </w:pPr>
    </w:p>
    <w:p>
      <w:pPr>
        <w:ind w:left="1540" w:right="300" w:hanging="331"/>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achieved approximately 56% of target levels based on performance that was below the targets for the revenue and operating profit metrics and above target for the fiscal year 2024 strategic objectives.</w:t>
      </w:r>
    </w:p>
    <w:p>
      <w:pPr>
        <w:spacing w:after="0" w:line="67" w:lineRule="exact"/>
        <w:rPr>
          <w:rFonts w:ascii="Times New Roman" w:cs="Times New Roman" w:eastAsia="Times New Roman" w:hAnsi="Times New Roman"/>
          <w:sz w:val="18"/>
          <w:szCs w:val="18"/>
          <w:color w:val="auto"/>
        </w:rPr>
      </w:pPr>
    </w:p>
    <w:p>
      <w:pPr>
        <w:ind w:left="1540" w:right="560" w:hanging="331"/>
        <w:spacing w:after="0" w:line="289" w:lineRule="auto"/>
        <w:tabs>
          <w:tab w:leader="none" w:pos="15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made awards under our fiscal year 2024 annual bonus plan to NEOs, based in part on the Company’s financial performance, achievement of annual corporate goals, and individual contributions. Based in part on the recommendation of Dr. Wang, bonus allocations for NEOs were generally below the 56% of total achievement under the bonus program.</w:t>
      </w:r>
    </w:p>
    <w:p>
      <w:pPr>
        <w:spacing w:after="0" w:line="59"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Incentive Compensation Awards:</w:t>
      </w:r>
    </w:p>
    <w:p>
      <w:pPr>
        <w:spacing w:after="0" w:line="134" w:lineRule="exact"/>
        <w:rPr>
          <w:rFonts w:ascii="Times New Roman" w:cs="Times New Roman" w:eastAsia="Times New Roman" w:hAnsi="Times New Roman"/>
          <w:sz w:val="18"/>
          <w:szCs w:val="18"/>
          <w:b w:val="1"/>
          <w:bCs w:val="1"/>
          <w:color w:val="auto"/>
        </w:rPr>
      </w:pPr>
    </w:p>
    <w:p>
      <w:pPr>
        <w:ind w:left="1540" w:right="160" w:hanging="331"/>
        <w:spacing w:after="0" w:line="266"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RSU and PRSU awards to our CEO and other NEOs based on a 50/50 split between RSUs and PRSUs. The target value of these awards was the same as the target value of the FY2023 awards. Approximately 82% of our CEO’s, and, on average, 80% of our other NEOs’, target total direct compensation consisted of RSUs and PRSUs.</w:t>
      </w:r>
    </w:p>
    <w:p>
      <w:pPr>
        <w:spacing w:after="0" w:line="81"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prior year, fiscal year 2024 PRSUs are subject to a three-year relative TSR performance metric measured against an index of the semiconductor companies included in the Russell 2000 Index.</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540" w:right="380" w:hanging="331"/>
        <w:spacing w:after="0" w:line="282"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emphasize revenue growth, a three-year cumulative revenue average growth rate performance (Revenue CAGR) metric was added to the PRSUs awarded in fiscal year 2024.</w:t>
      </w:r>
    </w:p>
    <w:p>
      <w:pPr>
        <w:spacing w:after="0" w:line="67" w:lineRule="exact"/>
        <w:rPr>
          <w:rFonts w:ascii="Times New Roman" w:cs="Times New Roman" w:eastAsia="Times New Roman" w:hAnsi="Times New Roman"/>
          <w:sz w:val="18"/>
          <w:szCs w:val="18"/>
          <w:color w:val="auto"/>
        </w:rPr>
      </w:pPr>
    </w:p>
    <w:p>
      <w:pPr>
        <w:ind w:left="1540" w:right="480" w:hanging="331"/>
        <w:spacing w:after="0" w:line="282"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certified TSR performance of PRSUs granted in 2021 at 74 percentage points below the median company in the PHLX Semiconductor Sector Index (SOX), resulting in a 0% payout of these PRSU awards.</w:t>
      </w:r>
    </w:p>
    <w:p>
      <w:pPr>
        <w:spacing w:after="0" w:line="63"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CFO Change: </w:t>
      </w:r>
      <w:r>
        <w:rPr>
          <w:rFonts w:ascii="Times New Roman" w:cs="Times New Roman" w:eastAsia="Times New Roman" w:hAnsi="Times New Roman"/>
          <w:sz w:val="18"/>
          <w:szCs w:val="18"/>
          <w:color w:val="auto"/>
        </w:rPr>
        <w:t>Following conclusion of fiscal year 2024, John A. Young replaced Mr. White as Chief Financial Officer (“CFO”).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2023, the Company entered into a separation agreement and release with Mr. White, pursuant to which Mr. White received certain separation benefits in exchange for his continued employment in the CFO role through the beginning of fiscal year 2025 and a release of claims in our favor. In connection with his promotion to the CFO role, in February 2024 Mr. Young was granted a restricted stock unit award of 30,000 shares vesting over four years. The equity grant was made in recognition of the significantly larger role, his experience, his prior equity grants, the Company’s retention needs, and other factors. Effective at the start of fiscal year 2025, Mr. Young’s base salary was set at $300,000.</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Shareholder Feedback</w:t>
      </w:r>
    </w:p>
    <w:p>
      <w:pPr>
        <w:spacing w:after="0" w:line="119"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We seek to engage with shareholders to solicit feedback relating to executive compensation and corporate governance practices. Members of our management team regularly conduct meetings and telephone calls with shareholders. Feedback from shareholders is considered by the compensation committee in structuring the executive compensation program and such feedback has led to changes in our compensation program from time to time.</w:t>
      </w:r>
    </w:p>
    <w:p>
      <w:pPr>
        <w:spacing w:after="0" w:line="158"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Our Say on Pay proposal has received strong support since 2019. Our Say on Pay proposals at the 2021, 2022 and 2023 annual shareholder meetings resulted in votes of approximately 93%, 94% and 89%, respectively, in favor of the executive compensation program. In light of such consistently strong support, we generally maintained the structure of our executive compensation program for fiscal year 2024.</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Aligning Pay for Performance</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cornerstone of our executive compensation program is pay for performance. Accordingly, while we pay competitive base salaries and other benefits, a significant portion of each of our NEOs’ compensation opportunity is based on variable pay in the form of performance-based bonuses and long-term equity awards. As discussed above, our business continues to transition from our legacy consumer camera markets, such as wearable cameras and camera enabled drones, to AI-based CV applications for active safety and autonomy in the vehicular market, sensing cameras in the enterprise, public and smart home applications, access control, mobile robotics, and industrial automation applications. This multi-year effort has presented retention challenges, including longer design win cycle times and a longer time to revenue. As we continue to establish a foothold in these new applications, it is imperative we continue to motivate our employees and executives around strategic initiatives that we believe will make us successful in the long term. We also recognize that sustainable long-term growth is significant for shareholders. As a result, for fiscal year 2024, approximately 82% of target total compensation (consisting of salary, target bonus opportunity and long-term equity awards) for our CEO was in the form of equity vesting over three years. Moreover, for fiscal year 2024, approximately 91% of the target total compensation for our CEO was “at risk” variable compensation in the form of a performance-based annual bonus opportunity, a time-based RSU award and a target PRSU award.</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82"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composition of the total annual compensation of our CEO for fiscal year 2024, as reported in the Summary Compensation Table further below,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131445</wp:posOffset>
            </wp:positionV>
            <wp:extent cx="2983230" cy="1911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8323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Corporate Governance Best Practices</w:t>
      </w:r>
    </w:p>
    <w:p>
      <w:pPr>
        <w:sectPr>
          <w:pgSz w:w="11900" w:h="16838" w:orient="portrait"/>
          <w:cols w:equalWidth="0" w:num="1">
            <w:col w:w="11020"/>
          </w:cols>
          <w:pgMar w:left="320" w:top="482" w:right="559" w:bottom="1440" w:gutter="0" w:footer="0" w:header="0"/>
        </w:sectPr>
      </w:pPr>
    </w:p>
    <w:p>
      <w:pPr>
        <w:spacing w:after="0" w:line="24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u w:val="single" w:color="auto"/>
          <w:color w:val="auto"/>
        </w:rPr>
        <w:t>What we do:</w:t>
      </w:r>
    </w:p>
    <w:p>
      <w:pPr>
        <w:spacing w:after="0" w:line="21" w:lineRule="exact"/>
        <w:rPr>
          <w:sz w:val="20"/>
          <w:szCs w:val="20"/>
          <w:color w:val="auto"/>
        </w:rPr>
      </w:pPr>
    </w:p>
    <w:p>
      <w:pPr>
        <w:ind w:left="840" w:hanging="269"/>
        <w:spacing w:after="0" w:line="21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Link pay and performance by establishing corporate performance objectives under our fiscal year 2024 plan and granting a substantial portion of pay in the form of equity awards, including performance-based awards</w:t>
      </w:r>
    </w:p>
    <w:p>
      <w:pPr>
        <w:spacing w:after="0" w:line="66"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Have robust stock ownership guidelines for our NEOs</w:t>
      </w:r>
    </w:p>
    <w:p>
      <w:pPr>
        <w:spacing w:after="0" w:line="131" w:lineRule="exact"/>
        <w:rPr>
          <w:sz w:val="20"/>
          <w:szCs w:val="20"/>
          <w:color w:val="auto"/>
        </w:rPr>
      </w:pPr>
    </w:p>
    <w:p>
      <w:pPr>
        <w:ind w:left="840" w:right="100" w:hanging="26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Have a clawback policy for performance-based compensation paid to our NEOs</w:t>
      </w:r>
    </w:p>
    <w:p>
      <w:pPr>
        <w:spacing w:after="0" w:line="64" w:lineRule="exact"/>
        <w:rPr>
          <w:sz w:val="20"/>
          <w:szCs w:val="20"/>
          <w:color w:val="auto"/>
        </w:rPr>
      </w:pPr>
    </w:p>
    <w:p>
      <w:pPr>
        <w:ind w:left="840" w:right="480" w:hanging="26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Have double-trigger change in control provisions in our NEO severance agreements</w:t>
      </w:r>
    </w:p>
    <w:p>
      <w:pPr>
        <w:spacing w:after="0" w:line="64" w:lineRule="exact"/>
        <w:rPr>
          <w:sz w:val="20"/>
          <w:szCs w:val="20"/>
          <w:color w:val="auto"/>
        </w:rPr>
      </w:pPr>
    </w:p>
    <w:p>
      <w:pPr>
        <w:ind w:left="840" w:right="20" w:hanging="26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Have retained an independent compensation consultant to assist our compensation committee</w:t>
      </w:r>
    </w:p>
    <w:p>
      <w:pPr>
        <w:spacing w:after="0" w:line="64" w:lineRule="exact"/>
        <w:rPr>
          <w:sz w:val="20"/>
          <w:szCs w:val="20"/>
          <w:color w:val="auto"/>
        </w:rPr>
      </w:pPr>
    </w:p>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Conduct annual “say-on-pay” advisory votes</w:t>
      </w:r>
    </w:p>
    <w:p>
      <w:pPr>
        <w:spacing w:after="0" w:line="131" w:lineRule="exact"/>
        <w:rPr>
          <w:sz w:val="20"/>
          <w:szCs w:val="20"/>
          <w:color w:val="auto"/>
        </w:rPr>
      </w:pPr>
    </w:p>
    <w:p>
      <w:pPr>
        <w:ind w:left="840" w:right="240" w:hanging="26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Engage in discussions with shareholders regarding our executive compensation programs</w:t>
      </w:r>
    </w:p>
    <w:p>
      <w:pPr>
        <w:spacing w:after="0" w:line="64" w:lineRule="exact"/>
        <w:rPr>
          <w:sz w:val="20"/>
          <w:szCs w:val="20"/>
          <w:color w:val="auto"/>
        </w:rPr>
      </w:pPr>
    </w:p>
    <w:p>
      <w:pPr>
        <w:ind w:left="840" w:right="960" w:hanging="26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Regular review by our compensation committee of our compensation-related risk profile</w:t>
      </w:r>
    </w:p>
    <w:p>
      <w:pPr>
        <w:spacing w:after="0" w:line="316" w:lineRule="exact"/>
        <w:rPr>
          <w:sz w:val="20"/>
          <w:szCs w:val="20"/>
          <w:color w:val="auto"/>
        </w:rPr>
      </w:pPr>
    </w:p>
    <w:p>
      <w:pPr>
        <w:ind w:left="560" w:right="118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Framework for Determining Executive Compensation </w:t>
      </w:r>
      <w:r>
        <w:rPr>
          <w:rFonts w:ascii="Times New Roman" w:cs="Times New Roman" w:eastAsia="Times New Roman" w:hAnsi="Times New Roman"/>
          <w:sz w:val="18"/>
          <w:szCs w:val="18"/>
          <w:i w:val="1"/>
          <w:iCs w:val="1"/>
          <w:color w:val="auto"/>
        </w:rPr>
        <w:t>Overview</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u w:val="single" w:color="auto"/>
          <w:color w:val="auto"/>
        </w:rPr>
        <w:t>What we don’t do:</w:t>
      </w:r>
    </w:p>
    <w:p>
      <w:pPr>
        <w:spacing w:after="0" w:line="21" w:lineRule="exact"/>
        <w:rPr>
          <w:sz w:val="20"/>
          <w:szCs w:val="20"/>
          <w:color w:val="auto"/>
        </w:rPr>
      </w:pPr>
    </w:p>
    <w:p>
      <w:pPr>
        <w:ind w:left="260" w:hanging="269"/>
        <w:spacing w:after="0" w:line="21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employment agreements with NEOs other than standard change in control severance agreements</w:t>
      </w:r>
    </w:p>
    <w:p>
      <w:pPr>
        <w:spacing w:after="0" w:line="63" w:lineRule="exact"/>
        <w:rPr>
          <w:sz w:val="20"/>
          <w:szCs w:val="20"/>
          <w:color w:val="auto"/>
        </w:rPr>
      </w:pPr>
    </w:p>
    <w:p>
      <w:pPr>
        <w:ind w:left="260" w:right="160" w:hanging="26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hedging or pledging of company stock by directors or NEOs</w:t>
      </w:r>
    </w:p>
    <w:p>
      <w:pPr>
        <w:spacing w:after="0" w:line="64"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excessive perquisites to NEOs</w:t>
      </w:r>
    </w:p>
    <w:p>
      <w:pPr>
        <w:spacing w:after="0" w:line="131" w:lineRule="exact"/>
        <w:rPr>
          <w:sz w:val="20"/>
          <w:szCs w:val="20"/>
          <w:color w:val="auto"/>
        </w:rPr>
      </w:pPr>
    </w:p>
    <w:p>
      <w:pPr>
        <w:ind w:left="260" w:right="240" w:hanging="26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“tax gross-ups”, except in case of legacy agreements with two company founders</w:t>
      </w:r>
    </w:p>
    <w:p>
      <w:pPr>
        <w:spacing w:after="0" w:line="3399" w:lineRule="exact"/>
        <w:rPr>
          <w:sz w:val="20"/>
          <w:szCs w:val="20"/>
          <w:color w:val="auto"/>
        </w:rPr>
      </w:pPr>
    </w:p>
    <w:p>
      <w:pPr>
        <w:sectPr>
          <w:pgSz w:w="11900" w:h="16838" w:orient="portrait"/>
          <w:cols w:equalWidth="0" w:num="2">
            <w:col w:w="5740" w:space="680"/>
            <w:col w:w="4600"/>
          </w:cols>
          <w:pgMar w:left="320" w:top="482" w:right="559" w:bottom="1440" w:gutter="0" w:footer="0" w:header="0"/>
          <w:type w:val="continuous"/>
        </w:sect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has focused primarily on attracting executive talent to manage and operate our business, retaining individuals who are key to our growth and success, and rewarding individuals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320" w:top="482" w:right="5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who help us achieve our business objectives. Our industry is characterized by high demand and intense competition for talent, including engineering personnel as well as management talent. The pool of qualified candidates is often limited, particularly in Silicon Valley, and we often compete for talent with companies much larger than us and our peer group of companies (described below). To support these objectives, we provide a competitive total compensation package to our executive officers that we believe achieves the following:</w:t>
      </w:r>
    </w:p>
    <w:p>
      <w:pPr>
        <w:spacing w:after="0" w:line="85"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motivates and rewards highly-talented individuals whose skills, knowledge and performance are critical to our success;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links overall compensation to achieving corporate objectives set at the beginning of each year and to individual performance during the year;</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long-term incentives for management to increase shareholder value by having a significant portion of compensation tied to our long-term success and, in particular, our total shareholder return over a three-year period;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total compensation that is fair, reasonable and competitive.</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Since our initial public offering in 2012, our executive compensation program continues to evolve. We have continued to make incremental changes to our executive compensation program to adopt practices that are appropriate for the Company given our business, industry, size, growth, and other factors. We have engaged an independent compensation consultant since our initial public offering, including for fiscal year 2024, which assists our compensation committee in determining executive compensation. Over the last few years, we have considered and used different types of equity awards to grant our NEOs, as we strive to establish a mix that continues to appropriately emphasize pay for performance, compensation that is competitive with the market and provide appropriate incentive to drive our business success and retain our key talent.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Peer Companies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setting executive compensation for fiscal year 2024, our compensation committee considered the compensation data gathered by Semler Brossy Consulting Group, LLC (“Semler Brossy”) for the Company’s peer group of companies, although it did not benchmark or otherwise target our compensation to any specific percentile or range with respect to our compensation peers. The peer group’s primary purpose is to inform on pay program design, relationship of pay and performance, and equity usage at companies with which the Company competes for customers and/or executive talent.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During fiscal year 2022, the compensation committee revised the peer group to more closely align with the Company’s market cap, revenues, industry and growth profile. Accordingly, the peer group was formed among semiconductor companies with revenue of approximately 1/3 to 3 times the then revenue of the Company and market capitalization of approximately 1/3 to 3 times the then market capitalization of the Company, which resulted in adding several AI software companies, to reflect the Company’s transition to AI computer vision, and one company supplying machine perception technology for the autonomous vehicles, to reflect the Company’s increased focus on the OEM automotive market. This peer group was used for the basis of fiscal year 2024 compensation decisions, including related to fiscal year 2024 base salary and fiscal year 2024 equity grants.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Peer Group For Fiscal Year 2024 Compensation Decisions</w:t>
      </w:r>
    </w:p>
    <w:p>
      <w:pPr>
        <w:sectPr>
          <w:pgSz w:w="11900" w:h="16838" w:orient="portrait"/>
          <w:cols w:equalWidth="0" w:num="1">
            <w:col w:w="11120"/>
          </w:cols>
          <w:pgMar w:left="320" w:top="482" w:right="459" w:bottom="1440" w:gutter="0" w:footer="0" w:header="0"/>
        </w:sectPr>
      </w:pPr>
    </w:p>
    <w:p>
      <w:pPr>
        <w:spacing w:after="0" w:line="25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Alpha and Omega Semiconductor</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Altair Engineering</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Alteryx</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AppFolio</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C3.ai</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CEVA</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Cerence</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Impinj</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Lattice Semiconductor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Luminar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MACOM 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MaxLinear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Integrations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Rambus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Display</w:t>
      </w:r>
    </w:p>
    <w:p>
      <w:pPr>
        <w:spacing w:after="0" w:line="355" w:lineRule="exact"/>
        <w:rPr>
          <w:sz w:val="20"/>
          <w:szCs w:val="20"/>
          <w:color w:val="auto"/>
        </w:rPr>
      </w:pPr>
    </w:p>
    <w:p>
      <w:pPr>
        <w:sectPr>
          <w:pgSz w:w="11900" w:h="16838" w:orient="portrait"/>
          <w:cols w:equalWidth="0" w:num="2">
            <w:col w:w="5660" w:space="720"/>
            <w:col w:w="4740"/>
          </w:cols>
          <w:pgMar w:left="320" w:top="482"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During the second half of fiscal year 2024, in August 2023, the compensation committee further revised the peer group to continue to align with the Company’s market cap, revenues, industry and growth profile. CEVA and LivePerson were removed due to their low market valuations relative to the remainder of the group, and SiTime and Synaptics were added based upon their business alignment, growth forecasts and market valuations. Several peer companies were retained in the group despite not meeting all the quantitative screening criteria based upon strong business alignment with the Company. This modified peer group was used for the basis of fiscal year 2025 compensation decisions.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Role of the Compensation Committee and Board of Directors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is responsible for the executive compensation program for our executive officers. The compensation committee formally met five times during fiscal year 2024, to review and discuss matters related to compensation of our employees and executive officers. Some of these meetings were held with members of management in attendance and some were held in closed session. The meetings also included members of our compensation consultant (as described below). The compensation committee reports to the Board on its discussions and actions and, in some cases, recommends to the Board the decisions to be made and other actions to be taken with regard to our executive officers’ compensation. Our compensation committee’s decisions regarding executive compensation are based on the compensation committee’s assessment of the performance of the Company and each individual executive officer, as well as other factors, such as prevailing industry trends and the competitive market for executive talent.</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Role of Management</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CEO typically makes recommendations to our compensation committee, attends certain compensation committee meetings and is involved in the process for setting our NEOs’ compensation, provided that our CEO does not make recommendations as to his own compensation or participate in compensation committee discussion of his own compensation. Our compensation committee considers management’s recommendations but is not required to follow any recommendations and may adjust compensation up or down as it determines in its discretion. Our compensation committee reviews the recommendations and other data and approves or makes recommendations to the Board as to each NEO’s total compensation, as well as each individual compensation component, other than with respect to NEOs who are not executive officers.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Role of the Compensation Consultant</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has authority to appoint and retain a compensation consultant. The reasonable fees for services rendered by the compensation consultant are paid by the Company. For fiscal year 2024, our compensation committee engaged Semler Brossy to provide compensation consulting services and Semler Brossy served at the discretion of the compensation committee. Services provided by Semler Brossy included presenting market data and our compensation peer group companies (as described above) to the compensation committee; analyzing our NEOs’ salary, short-term incentive and equity incentive compensation in relation to market data; assisting the compensation committee with evaluating our equity incentive program and our annual bonus program to ensure they achieve desired objectives; assisting the compensation committee with a risk assessment; and attending compensation committee meetings as requested by the compensation committee. Semler Brossy provides no services to the Company other than those it provides to the compensation committee. The compensation committee assesses Semler Brossy’s independence annually under SEC and Nasdaq standards and has concluded that Semler Brossy was independent and that no conflict of interest exists as to its work.</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of our NEOs consists of the following principal components:</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bonuses;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awards;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change of control benefits.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strive to achieve an appropriate mix between cash compensation and equity incentive awards to meet our objectives. We do not apply any formal or informal policies or guidelines for allocating compensation between current and long-term compensation, or between cash and various equity-based awards.</w:t>
      </w:r>
    </w:p>
    <w:p>
      <w:pPr>
        <w:spacing w:after="0" w:line="176"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Our Board, led by our compensation committee, generally conducts an annual review of our executive compensation, as well as the mix of components used to compensate our NEOs. In reviewing and setting the executive compensation for fiscal year 2024, our compensation committee and Board relied on its collective judgment, recommendations from Dr. Wang (for executives other than Dr. Wang), the relative pay among the management team members, and its assessment of each executive officer’s role, responsibilities and overall contribution to the business in determining the size and mix of compensation for each executive, and Semler Brossy’s analysis of executive pay practices of the Company’s compensation peers. Given our strong commitment to pay for performance, the large majority of each NEO’s target direct compensation (salary, annual bonus opportunity, and target equity awards) was variable and subject to the achievement of performance objectives that are important for the growth and success of the Company.</w:t>
      </w:r>
    </w:p>
    <w:p>
      <w:pPr>
        <w:spacing w:after="0" w:line="2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base salaries are intended to provide financial stability, predictability and security of compensation for our executive officers for fulfilling their core job responsibilities. The base salaries of our NEOs are based primarily on role, the scope of their responsibilities, experience, performance and contributions, and our compensation committee’s understanding of compensation paid to similarly situated executives. None of our NEOs has an employment agreement that provides for automatic or scheduled increases in base salary.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fiscal year 2024, the compensation committee approved base salaries for our CEO and other NEOs that were flat relative to fiscal year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annual base salary for each of our NEOs for fiscal year 2024:</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8"/>
              </w:rPr>
              <w:t>Year 2024</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48"/>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tcPr>
          <w:p>
            <w:pPr>
              <w:spacing w:after="0"/>
              <w:rPr>
                <w:sz w:val="12"/>
                <w:szCs w:val="12"/>
                <w:color w:val="auto"/>
              </w:rPr>
            </w:pPr>
          </w:p>
        </w:tc>
        <w:tc>
          <w:tcPr>
            <w:tcW w:w="160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80" w:type="dxa"/>
            <w:vAlign w:val="bottom"/>
            <w:gridSpan w:val="2"/>
            <w:vMerge w:val="continue"/>
          </w:tcPr>
          <w:p>
            <w:pPr>
              <w:spacing w:after="0"/>
              <w:rPr>
                <w:sz w:val="13"/>
                <w:szCs w:val="13"/>
                <w:color w:val="auto"/>
              </w:rPr>
            </w:pPr>
          </w:p>
        </w:tc>
        <w:tc>
          <w:tcPr>
            <w:tcW w:w="1900" w:type="dxa"/>
            <w:vAlign w:val="bottom"/>
          </w:tcPr>
          <w:p>
            <w:pPr>
              <w:spacing w:after="0"/>
              <w:rPr>
                <w:sz w:val="13"/>
                <w:szCs w:val="13"/>
                <w:color w:val="auto"/>
              </w:rPr>
            </w:pPr>
          </w:p>
        </w:tc>
        <w:tc>
          <w:tcPr>
            <w:tcW w:w="1600" w:type="dxa"/>
            <w:vAlign w:val="bottom"/>
            <w:gridSpan w:val="2"/>
          </w:tcPr>
          <w:p>
            <w:pPr>
              <w:jc w:val="center"/>
              <w:ind w:right="92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120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Fiscal Year 2023</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Fermi Wang</w:t>
            </w:r>
          </w:p>
        </w:tc>
        <w:tc>
          <w:tcPr>
            <w:tcW w:w="19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$561,000</w:t>
            </w:r>
          </w:p>
        </w:tc>
        <w:tc>
          <w:tcPr>
            <w:tcW w:w="9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White</w:t>
            </w:r>
          </w:p>
        </w:tc>
        <w:tc>
          <w:tcPr>
            <w:tcW w:w="35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$360,000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Kohn</w:t>
            </w:r>
          </w:p>
        </w:tc>
        <w:tc>
          <w:tcPr>
            <w:tcW w:w="3500" w:type="dxa"/>
            <w:vAlign w:val="bottom"/>
            <w:gridSpan w:val="3"/>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rPr>
              <w:t>$375,524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35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$340,332</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3500" w:type="dxa"/>
            <w:vAlign w:val="bottom"/>
            <w:gridSpan w:val="3"/>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4"/>
              </w:rPr>
              <w:t>$ 311,041</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Bonuses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NEOs are eligible to receive bonuses under our annual bonus plan established at the beginning of the fiscal year. Annual bonuses are intended to motivate our executives to achieve, and reward our executives for achieving, important corporate financial and operational goals, as well as individual performance.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 annual bonus pool for employees and executives is established by the Board at the time the Company’s annual operating budget is approved by the Board. For fiscal year 2024, the total target bonus pool was decreased approximately -15% year-over-year from fiscal year 2023, which was reflective of the lower anticipated revenue and profit under the Company’s annual operating plan for fiscal year 2024 at the start of the fiscal year. Target bonuses for our CEO and other NEOs are set as a percentage of their base salary. For fiscal year 2024, these target bonus percentages were flat compared to fiscal year 2023.</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Fiscal Year 2024 Annual Bonus Plan linked a portion of employee and executive compensation to our actual financial and operational performance. For fiscal year 2024, consistent with our approach in fiscal years 2020 - 2023, the bonus program has been based upon three equally weighted performance metrics: (i) annual revenue, (ii) annual operating profit before bonus accruals, and (iii) a set of strategic objectives, of which there were six in fiscal year 2024.</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Once achievement of these performance goals has been certified by the compensation committee, the target bonus pool size is adjusted based upon the level of achievement. For fiscal year 2024, the target bonus pool was set at a range of 0 – 150% of target. The pool is then distributed to individual NEOs as determined by the compensation committee, with input from the CEO, based on factors such as target amount, historical allocation, the individual’s role and individual contribution to the Company’s financial results and strategic objectives. The bonus award for Dr. Wang, as CEO, is recommended by the compensation committee and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145415</wp:posOffset>
            </wp:positionV>
            <wp:extent cx="4911725" cy="557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117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Performance Metric Selection and Goal Setting</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noted above, for fiscal year 2024, the executive bonus program was based upon three equally-weighted performance metrics: (i) annual revenue, (ii) annual operating profit before bonus accruals, and (iii) a set of strategic objectives. These performance objectives were chosen because the compensation committee and Board believe that these are important financial metrics that reflect our performance as a growing company and indicators of successful execution of our annual operating plan. While revenue remained an important focus for the Company’s overall business success, the operating profit goal also was important to ensure that the pursuit of revenue and research &amp; development was balanced with efforts in achieving profitable margins and the management of expenses. The operating profit goal is a non-GAAP measure and refers to our GAAP operating income less the impact of stock-based compensation and the associated tax impact and excluding bonus accruals. The strategic goals metric is a measure consisting of six short-term strategic objectives significant to the Company’s transition from traditional image and video processors to AI computer vision solutions for a broader range of markets, including automotive and IoT, which we believe will create long term value.</w:t>
      </w:r>
    </w:p>
    <w:p>
      <w:pPr>
        <w:spacing w:after="0" w:line="18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established threshold, target and maximum achievement levels for each of the three performance metrics. Once achievement of these performance goals has been certified by the compensation committee, the target executive bonus pool size is adjusted to between 0% and a maximum of 150% based upon the level of achievement. Failure to achieve threshold performance of any specific metric would result in no payout for that portion of the bonus pool, and failure to achieve threshold performance on all metrics would result in none of the bonus pool becoming payable. Funding of the target pool size between performance goals is based on a linear interpolation.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executive bonus pool funding levels resulting from performance achievement for the two financial performance metrics were as follows: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Attainment vs. Plan</w:t>
            </w:r>
          </w:p>
        </w:tc>
        <w:tc>
          <w:tcPr>
            <w:tcW w:w="2080" w:type="dxa"/>
            <w:vAlign w:val="bottom"/>
          </w:tcPr>
          <w:p>
            <w:pPr>
              <w:spacing w:after="0"/>
              <w:rPr>
                <w:sz w:val="13"/>
                <w:szCs w:val="13"/>
                <w:color w:val="auto"/>
              </w:rPr>
            </w:pPr>
          </w:p>
        </w:tc>
        <w:tc>
          <w:tcPr>
            <w:tcW w:w="2280" w:type="dxa"/>
            <w:vAlign w:val="bottom"/>
            <w:gridSpan w:val="2"/>
            <w:vMerge w:val="restart"/>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Revenue Amount</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Revenue-Related</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Portion of Pool Funded</w:t>
            </w:r>
          </w:p>
        </w:tc>
        <w:tc>
          <w:tcPr>
            <w:tcW w:w="0" w:type="dxa"/>
            <w:vAlign w:val="bottom"/>
          </w:tcPr>
          <w:p>
            <w:pPr>
              <w:spacing w:after="0"/>
              <w:rPr>
                <w:sz w:val="1"/>
                <w:szCs w:val="1"/>
                <w:color w:val="auto"/>
              </w:rPr>
            </w:pPr>
          </w:p>
        </w:tc>
      </w:tr>
      <w:tr>
        <w:trPr>
          <w:trHeight w:val="210"/>
        </w:trPr>
        <w:tc>
          <w:tcPr>
            <w:tcW w:w="8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Threshold</w:t>
            </w:r>
          </w:p>
        </w:tc>
        <w:tc>
          <w:tcPr>
            <w:tcW w:w="20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 million</w:t>
            </w:r>
          </w:p>
        </w:tc>
        <w:tc>
          <w:tcPr>
            <w:tcW w:w="1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Target</w:t>
            </w:r>
          </w:p>
        </w:tc>
        <w:tc>
          <w:tcPr>
            <w:tcW w:w="2080" w:type="dxa"/>
            <w:vAlign w:val="bottom"/>
          </w:tcPr>
          <w:p>
            <w:pPr>
              <w:spacing w:after="0"/>
              <w:rPr>
                <w:sz w:val="18"/>
                <w:szCs w:val="18"/>
                <w:color w:val="auto"/>
              </w:rPr>
            </w:pPr>
          </w:p>
        </w:tc>
        <w:tc>
          <w:tcPr>
            <w:tcW w:w="228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9"/>
              </w:rPr>
              <w:t>$300 million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20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240"/>
              <w:spacing w:after="0"/>
              <w:rPr>
                <w:sz w:val="20"/>
                <w:szCs w:val="20"/>
                <w:color w:val="auto"/>
              </w:rPr>
            </w:pPr>
            <w:r>
              <w:rPr>
                <w:rFonts w:ascii="Times New Roman" w:cs="Times New Roman" w:eastAsia="Times New Roman" w:hAnsi="Times New Roman"/>
                <w:sz w:val="18"/>
                <w:szCs w:val="18"/>
                <w:color w:val="auto"/>
                <w:w w:val="99"/>
              </w:rPr>
              <w:t>$345 million</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40" w:type="dxa"/>
            <w:vAlign w:val="bottom"/>
            <w:gridSpan w:val="2"/>
          </w:tcPr>
          <w:p>
            <w:pPr>
              <w:jc w:val="right"/>
              <w:ind w:right="875"/>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Non-GAAP Operating Profit</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20" w:type="dxa"/>
            <w:vAlign w:val="bottom"/>
            <w:gridSpan w:val="3"/>
            <w:vMerge w:val="restart"/>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Attainment vs. Plan</w:t>
            </w:r>
          </w:p>
        </w:tc>
        <w:tc>
          <w:tcPr>
            <w:tcW w:w="230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Operating Income-</w:t>
            </w:r>
          </w:p>
        </w:tc>
        <w:tc>
          <w:tcPr>
            <w:tcW w:w="0" w:type="dxa"/>
            <w:vAlign w:val="bottom"/>
          </w:tcPr>
          <w:p>
            <w:pPr>
              <w:spacing w:after="0"/>
              <w:rPr>
                <w:sz w:val="1"/>
                <w:szCs w:val="1"/>
                <w:color w:val="auto"/>
              </w:rPr>
            </w:pPr>
          </w:p>
        </w:tc>
      </w:tr>
      <w:tr>
        <w:trPr>
          <w:trHeight w:val="173"/>
        </w:trPr>
        <w:tc>
          <w:tcPr>
            <w:tcW w:w="4020" w:type="dxa"/>
            <w:vAlign w:val="bottom"/>
            <w:gridSpan w:val="3"/>
            <w:vMerge w:val="continue"/>
          </w:tcPr>
          <w:p>
            <w:pPr>
              <w:spacing w:after="0"/>
              <w:rPr>
                <w:sz w:val="15"/>
                <w:szCs w:val="15"/>
                <w:color w:val="auto"/>
              </w:rPr>
            </w:pPr>
          </w:p>
        </w:tc>
        <w:tc>
          <w:tcPr>
            <w:tcW w:w="230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 Portion of Pool Funded</w:t>
            </w:r>
          </w:p>
        </w:tc>
        <w:tc>
          <w:tcPr>
            <w:tcW w:w="0" w:type="dxa"/>
            <w:vAlign w:val="bottom"/>
          </w:tcPr>
          <w:p>
            <w:pPr>
              <w:spacing w:after="0"/>
              <w:rPr>
                <w:sz w:val="1"/>
                <w:szCs w:val="1"/>
                <w:color w:val="auto"/>
              </w:rPr>
            </w:pPr>
          </w:p>
        </w:tc>
      </w:tr>
      <w:tr>
        <w:trPr>
          <w:trHeight w:val="210"/>
        </w:trPr>
        <w:tc>
          <w:tcPr>
            <w:tcW w:w="8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Threshold</w:t>
            </w:r>
          </w:p>
        </w:tc>
        <w:tc>
          <w:tcPr>
            <w:tcW w:w="20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$52.7 million</w:t>
            </w:r>
          </w:p>
        </w:tc>
        <w:tc>
          <w:tcPr>
            <w:tcW w:w="1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20" w:type="dxa"/>
            <w:vAlign w:val="bottom"/>
            <w:gridSpan w:val="2"/>
          </w:tcPr>
          <w:p>
            <w:pPr>
              <w:jc w:val="center"/>
              <w:ind w:right="2000"/>
              <w:spacing w:after="0"/>
              <w:rPr>
                <w:sz w:val="20"/>
                <w:szCs w:val="20"/>
                <w:color w:val="auto"/>
              </w:rPr>
            </w:pPr>
            <w:r>
              <w:rPr>
                <w:rFonts w:ascii="Times New Roman" w:cs="Times New Roman" w:eastAsia="Times New Roman" w:hAnsi="Times New Roman"/>
                <w:sz w:val="18"/>
                <w:szCs w:val="18"/>
                <w:color w:val="auto"/>
                <w:w w:val="97"/>
              </w:rPr>
              <w:t>Target</w:t>
            </w:r>
          </w:p>
        </w:tc>
        <w:tc>
          <w:tcPr>
            <w:tcW w:w="23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 $13.5 million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2020"/>
              <w:spacing w:after="0"/>
              <w:rPr>
                <w:sz w:val="20"/>
                <w:szCs w:val="20"/>
                <w:color w:val="auto"/>
              </w:rPr>
            </w:pPr>
            <w:r>
              <w:rPr>
                <w:rFonts w:ascii="Times New Roman" w:cs="Times New Roman" w:eastAsia="Times New Roman" w:hAnsi="Times New Roman"/>
                <w:sz w:val="18"/>
                <w:szCs w:val="18"/>
                <w:color w:val="auto"/>
              </w:rPr>
              <w:t>Maximum</w:t>
            </w:r>
          </w:p>
        </w:tc>
        <w:tc>
          <w:tcPr>
            <w:tcW w:w="2300" w:type="dxa"/>
            <w:vAlign w:val="bottom"/>
            <w:gridSpan w:val="2"/>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color w:val="auto"/>
                <w:w w:val="98"/>
              </w:rPr>
              <w:t>$13.8 million</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intended that the difficulty of attaining the goals would be relatively consistent with prior years and would require strong operational performance. While the targets for fiscal year 2024 represented decreases over the prior year’s results, at the time of the compensation committee’s goal setting, there was significant uncertainty regarding cyclical challenges in the semiconductor industry, ongoing inventory correction efforts among our customers, economic uncertainty, geopolitical events, and increased expenses associated with continued development of the Company’s new AI computer vision solutions. The compensation committee also acknowledged that the Company was still in the relatively early stages of adoption of its new AI computer vision based products and transition to new markets focused on AI applications, which generally had longer design win cycle times and longer time to revenue.</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the Fiscal Year 2024 Annual Bonus Plan, the six strategic objectives related to the long-term success of the Company’s business transition, which included additional emphasis on securing automotive design wins, and were as follows (with points assigned for achievement):</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design wins for an automotive ADAS or Level2+ autonomous application (up to maximum of 6 points);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CV-related revenue (1 point);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design wins for IoT applications (up to maximum of 1 point);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milestones related to two new CV3 family SoCs (up to maximum of 1 point);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activities related to the Company’s automotive software stack (1 point);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design wins for high-definition radar software (up to a maximum of 2 points).</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strategic objectives-related portion of the bonus pool was scheduled to fund as follows (with linear interpolation of funding amounts for performance between the listed performance achievement amounts):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20" w:type="dxa"/>
            <w:vAlign w:val="bottom"/>
            <w:gridSpan w:val="3"/>
            <w:vMerge w:val="restart"/>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Attainment vs. Plan</w:t>
            </w:r>
          </w:p>
        </w:tc>
        <w:tc>
          <w:tcPr>
            <w:tcW w:w="2240" w:type="dxa"/>
            <w:vAlign w:val="bottom"/>
            <w:gridSpan w:val="2"/>
            <w:vMerge w:val="restart"/>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Points Achieved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Strategic Objective-</w:t>
            </w:r>
          </w:p>
        </w:tc>
        <w:tc>
          <w:tcPr>
            <w:tcW w:w="0" w:type="dxa"/>
            <w:vAlign w:val="bottom"/>
          </w:tcPr>
          <w:p>
            <w:pPr>
              <w:spacing w:after="0"/>
              <w:rPr>
                <w:sz w:val="1"/>
                <w:szCs w:val="1"/>
                <w:color w:val="auto"/>
              </w:rPr>
            </w:pPr>
          </w:p>
        </w:tc>
      </w:tr>
      <w:tr>
        <w:trPr>
          <w:trHeight w:val="173"/>
        </w:trPr>
        <w:tc>
          <w:tcPr>
            <w:tcW w:w="4020" w:type="dxa"/>
            <w:vAlign w:val="bottom"/>
            <w:gridSpan w:val="3"/>
            <w:vMerge w:val="continue"/>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 Portion of Pool Funded</w:t>
            </w:r>
          </w:p>
        </w:tc>
        <w:tc>
          <w:tcPr>
            <w:tcW w:w="0" w:type="dxa"/>
            <w:vAlign w:val="bottom"/>
          </w:tcPr>
          <w:p>
            <w:pPr>
              <w:spacing w:after="0"/>
              <w:rPr>
                <w:sz w:val="1"/>
                <w:szCs w:val="1"/>
                <w:color w:val="auto"/>
              </w:rPr>
            </w:pPr>
          </w:p>
        </w:tc>
      </w:tr>
      <w:tr>
        <w:trPr>
          <w:trHeight w:val="209"/>
        </w:trPr>
        <w:tc>
          <w:tcPr>
            <w:tcW w:w="7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20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points</w:t>
            </w:r>
          </w:p>
        </w:tc>
        <w:tc>
          <w:tcPr>
            <w:tcW w:w="126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4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color w:val="auto"/>
                <w:w w:val="97"/>
              </w:rPr>
              <w:t>Target</w:t>
            </w:r>
          </w:p>
        </w:tc>
        <w:tc>
          <w:tcPr>
            <w:tcW w:w="224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rPr>
              <w:t>5 points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center"/>
              <w:ind w:right="2020"/>
              <w:spacing w:after="0"/>
              <w:rPr>
                <w:sz w:val="20"/>
                <w:szCs w:val="20"/>
                <w:color w:val="auto"/>
              </w:rPr>
            </w:pPr>
            <w:r>
              <w:rPr>
                <w:rFonts w:ascii="Times New Roman" w:cs="Times New Roman" w:eastAsia="Times New Roman" w:hAnsi="Times New Roman"/>
                <w:sz w:val="18"/>
                <w:szCs w:val="18"/>
                <w:color w:val="auto"/>
                <w:w w:val="98"/>
              </w:rPr>
              <w:t>Maximum</w:t>
            </w:r>
          </w:p>
        </w:tc>
        <w:tc>
          <w:tcPr>
            <w:tcW w:w="2240" w:type="dxa"/>
            <w:vAlign w:val="bottom"/>
            <w:gridSpan w:val="2"/>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rPr>
              <w:t>9 points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Under our Fiscal Year 2024 Annual Bonus Plan, our compensation committee and Board had the discretion to reduce, eliminate or increase the size of the bonus pool and the individual bonuses. The compensation committee did not make any changes to the performance metrics or size of the bonus pool for fiscal year 2024.</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Fiscal Year 2024 Annual Bonus Metric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95885</wp:posOffset>
            </wp:positionV>
            <wp:extent cx="4705985" cy="5746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0598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Fiscal Year 2024 Performance</w:t>
      </w:r>
    </w:p>
    <w:p>
      <w:pPr>
        <w:spacing w:after="0" w:line="119" w:lineRule="exact"/>
        <w:rPr>
          <w:sz w:val="20"/>
          <w:szCs w:val="20"/>
          <w:color w:val="auto"/>
        </w:rPr>
      </w:pPr>
    </w:p>
    <w:p>
      <w:pPr>
        <w:ind w:left="120" w:right="280" w:firstLine="440"/>
        <w:spacing w:after="0" w:line="254" w:lineRule="auto"/>
        <w:rPr>
          <w:sz w:val="20"/>
          <w:szCs w:val="20"/>
          <w:color w:val="auto"/>
        </w:rPr>
      </w:pPr>
      <w:r>
        <w:rPr>
          <w:rFonts w:ascii="Times New Roman" w:cs="Times New Roman" w:eastAsia="Times New Roman" w:hAnsi="Times New Roman"/>
          <w:sz w:val="18"/>
          <w:szCs w:val="18"/>
          <w:color w:val="auto"/>
        </w:rPr>
        <w:t>For fiscal year 2024, we underperformed the targets for the revenue and operating profit metrics and exceeded the target for the strategic objectives metric, resulting in an aggregate funding of the bonus pool at a level of 56% of target. The lower than target revenue performance was primarily attributable to impacts from cyclical downturn in the semiconductor industry and ongoing efforts by customers to reduce their inventory levels, which resulted in lower demand for the Company’s solutions. The lower than target operating profit was primarily due to lower than forecast revenue achievement as well as marginally higher operating costs associated with continued development of the Company’s new AI computer vision solutions. We achieved or partially achieved 4 of the 6 strategic objectives, including: achieving automotive Tier-1 designs for ADAS or Level2+ autonomous applications; achieving at least 58% of total revenue from CV solutions; securing CV product design wins for IoT applications; and demonstrating the Company’s new automotive software stack for L2+ and higher autonomous driving applications.</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Based on these results, the compensation committee determined the percentage achievement of each performance metric and the corresponding payout factor:</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300" w:type="dxa"/>
            <w:vAlign w:val="bottom"/>
          </w:tcPr>
          <w:p>
            <w:pPr>
              <w:spacing w:after="0"/>
              <w:rPr>
                <w:sz w:val="13"/>
                <w:szCs w:val="13"/>
                <w:color w:val="auto"/>
              </w:rPr>
            </w:pPr>
          </w:p>
        </w:tc>
        <w:tc>
          <w:tcPr>
            <w:tcW w:w="17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4100" w:type="dxa"/>
            <w:vAlign w:val="bottom"/>
            <w:vMerge w:val="restart"/>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Factor (% of</w:t>
            </w:r>
          </w:p>
        </w:tc>
        <w:tc>
          <w:tcPr>
            <w:tcW w:w="0" w:type="dxa"/>
            <w:vAlign w:val="bottom"/>
          </w:tcPr>
          <w:p>
            <w:pPr>
              <w:spacing w:after="0"/>
              <w:rPr>
                <w:sz w:val="1"/>
                <w:szCs w:val="1"/>
                <w:color w:val="auto"/>
              </w:rPr>
            </w:pPr>
          </w:p>
        </w:tc>
      </w:tr>
      <w:tr>
        <w:trPr>
          <w:trHeight w:val="165"/>
        </w:trPr>
        <w:tc>
          <w:tcPr>
            <w:tcW w:w="420" w:type="dxa"/>
            <w:vAlign w:val="bottom"/>
            <w:tcBorders>
              <w:bottom w:val="single" w:sz="8" w:color="auto"/>
            </w:tcBorders>
            <w:vMerge w:val="continue"/>
          </w:tcPr>
          <w:p>
            <w:pPr>
              <w:spacing w:after="0"/>
              <w:rPr>
                <w:sz w:val="13"/>
                <w:szCs w:val="13"/>
                <w:color w:val="auto"/>
              </w:rPr>
            </w:pPr>
          </w:p>
        </w:tc>
        <w:tc>
          <w:tcPr>
            <w:tcW w:w="41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3"/>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Performance Goal</w:t>
            </w:r>
          </w:p>
        </w:tc>
        <w:tc>
          <w:tcPr>
            <w:tcW w:w="300" w:type="dxa"/>
            <w:vAlign w:val="bottom"/>
          </w:tcPr>
          <w:p>
            <w:pPr>
              <w:spacing w:after="0"/>
              <w:rPr>
                <w:sz w:val="13"/>
                <w:szCs w:val="13"/>
                <w:color w:val="auto"/>
              </w:rPr>
            </w:pPr>
          </w:p>
        </w:tc>
        <w:tc>
          <w:tcPr>
            <w:tcW w:w="17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Results</w:t>
            </w: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Target)</w:t>
            </w:r>
          </w:p>
        </w:tc>
        <w:tc>
          <w:tcPr>
            <w:tcW w:w="0" w:type="dxa"/>
            <w:vAlign w:val="bottom"/>
          </w:tcPr>
          <w:p>
            <w:pPr>
              <w:spacing w:after="0"/>
              <w:rPr>
                <w:sz w:val="1"/>
                <w:szCs w:val="1"/>
                <w:color w:val="auto"/>
              </w:rPr>
            </w:pPr>
          </w:p>
        </w:tc>
      </w:tr>
      <w:tr>
        <w:trPr>
          <w:trHeight w:val="20"/>
        </w:trPr>
        <w:tc>
          <w:tcPr>
            <w:tcW w:w="4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gridSpan w:val="2"/>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33.3%</w:t>
            </w:r>
          </w:p>
        </w:tc>
        <w:tc>
          <w:tcPr>
            <w:tcW w:w="2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 million</w:t>
            </w:r>
          </w:p>
        </w:tc>
        <w:tc>
          <w:tcPr>
            <w:tcW w:w="3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$ 226.5 million</w:t>
            </w:r>
          </w:p>
        </w:tc>
        <w:tc>
          <w:tcPr>
            <w:tcW w:w="60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 million</w:t>
            </w:r>
          </w:p>
        </w:tc>
        <w:tc>
          <w:tcPr>
            <w:tcW w:w="2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-$ 36.1 million</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Strategic Goals</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5.0 points</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 points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Individual Bonus Opportunity</w:t>
      </w:r>
    </w:p>
    <w:p>
      <w:pPr>
        <w:spacing w:after="0" w:line="119" w:lineRule="exact"/>
        <w:rPr>
          <w:sz w:val="20"/>
          <w:szCs w:val="20"/>
          <w:color w:val="auto"/>
        </w:rPr>
      </w:pPr>
    </w:p>
    <w:p>
      <w:pPr>
        <w:jc w:val="both"/>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For fiscal year 2024, the compensation committee approved target bonus levels, based on a percentage of base salary, for the CEO and other NEOs.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Prior to the allocation of bonus awards, our CEO met with the compensation committee and provided recommendations with respect to individual bonus allocations for the NEOs other than himself. Dr. Wang recommended bonus allocations for the management team, including NEOs and himself, at levels below the 56% of the achievement under the bonus program, in part to allow a slightly greater portion of the bonus pool to be allocated to non-management employees. The compensation committee considered these recommendations, as well as the total percentage achievement and payout factor under the bonus plan metrics, historical allocations, and the executives’ individual contributions to the Company’s financial and operational results with a focus on executive retention in light of prevailing market conditions in our industry.</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determined to make annual bonus awards to our NEOs other than Dr. Wang as set forth in the table below. The bonus award for Dr. Wang, as CEO, was recommended by the compensation committee and approved by the Board.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60" w:type="dxa"/>
            <w:vAlign w:val="bottom"/>
          </w:tcPr>
          <w:p>
            <w:pPr>
              <w:spacing w:after="0"/>
              <w:rPr>
                <w:sz w:val="13"/>
                <w:szCs w:val="13"/>
                <w:color w:val="auto"/>
              </w:rPr>
            </w:pPr>
          </w:p>
        </w:tc>
        <w:tc>
          <w:tcPr>
            <w:tcW w:w="1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3"/>
                <w:szCs w:val="13"/>
                <w:color w:val="auto"/>
              </w:rPr>
            </w:pPr>
          </w:p>
        </w:tc>
        <w:tc>
          <w:tcPr>
            <w:tcW w:w="196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0" w:type="dxa"/>
            <w:vAlign w:val="bottom"/>
          </w:tcPr>
          <w:p>
            <w:pPr>
              <w:spacing w:after="0"/>
              <w:rPr>
                <w:sz w:val="1"/>
                <w:szCs w:val="1"/>
                <w:color w:val="auto"/>
              </w:rPr>
            </w:pPr>
          </w:p>
        </w:tc>
      </w:tr>
      <w:tr>
        <w:trPr>
          <w:trHeight w:val="148"/>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8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2024 Bonus Target</w:t>
            </w: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Bonus Award</w:t>
            </w:r>
          </w:p>
        </w:tc>
        <w:tc>
          <w:tcPr>
            <w:tcW w:w="0" w:type="dxa"/>
            <w:vAlign w:val="bottom"/>
          </w:tcPr>
          <w:p>
            <w:pPr>
              <w:spacing w:after="0"/>
              <w:rPr>
                <w:sz w:val="1"/>
                <w:szCs w:val="1"/>
                <w:color w:val="auto"/>
              </w:rPr>
            </w:pPr>
          </w:p>
        </w:tc>
      </w:tr>
      <w:tr>
        <w:trPr>
          <w:trHeight w:val="160"/>
        </w:trPr>
        <w:tc>
          <w:tcPr>
            <w:tcW w:w="2600" w:type="dxa"/>
            <w:vAlign w:val="bottom"/>
            <w:gridSpan w:val="2"/>
            <w:vMerge w:val="continue"/>
          </w:tcPr>
          <w:p>
            <w:pPr>
              <w:spacing w:after="0"/>
              <w:rPr>
                <w:sz w:val="13"/>
                <w:szCs w:val="13"/>
                <w:color w:val="auto"/>
              </w:rPr>
            </w:pPr>
          </w:p>
        </w:tc>
        <w:tc>
          <w:tcPr>
            <w:tcW w:w="2080" w:type="dxa"/>
            <w:vAlign w:val="bottom"/>
            <w:gridSpan w:val="2"/>
          </w:tcPr>
          <w:p>
            <w:pPr>
              <w:jc w:val="center"/>
              <w:ind w:right="920"/>
              <w:spacing w:after="0" w:line="160" w:lineRule="exact"/>
              <w:rPr>
                <w:sz w:val="20"/>
                <w:szCs w:val="20"/>
                <w:color w:val="auto"/>
              </w:rPr>
            </w:pPr>
            <w:r>
              <w:rPr>
                <w:rFonts w:ascii="Times New Roman" w:cs="Times New Roman" w:eastAsia="Times New Roman" w:hAnsi="Times New Roman"/>
                <w:sz w:val="14"/>
                <w:szCs w:val="14"/>
                <w:color w:val="auto"/>
              </w:rPr>
              <w:t>(% of Base Salary)</w:t>
            </w:r>
          </w:p>
        </w:tc>
        <w:tc>
          <w:tcPr>
            <w:tcW w:w="20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2024 Bonus Target</w:t>
            </w:r>
          </w:p>
        </w:tc>
        <w:tc>
          <w:tcPr>
            <w:tcW w:w="21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2024 Bonus Awarded</w:t>
            </w:r>
          </w:p>
        </w:tc>
        <w:tc>
          <w:tcPr>
            <w:tcW w:w="12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color w:val="auto"/>
              </w:rPr>
              <w:t>(% of Base 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Fermi Wang</w:t>
            </w:r>
          </w:p>
        </w:tc>
        <w:tc>
          <w:tcPr>
            <w:tcW w:w="2080" w:type="dxa"/>
            <w:vAlign w:val="bottom"/>
            <w:gridSpan w:val="2"/>
            <w:shd w:val="clear" w:color="auto" w:fill="CCEEFF"/>
          </w:tcPr>
          <w:p>
            <w:pPr>
              <w:jc w:val="right"/>
              <w:ind w:right="78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561,000</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196,350</w:t>
            </w:r>
          </w:p>
        </w:tc>
        <w:tc>
          <w:tcPr>
            <w:tcW w:w="8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White</w:t>
            </w:r>
          </w:p>
        </w:tc>
        <w:tc>
          <w:tcPr>
            <w:tcW w:w="20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270,000</w:t>
            </w:r>
          </w:p>
        </w:tc>
        <w:tc>
          <w:tcPr>
            <w:tcW w:w="200" w:type="dxa"/>
            <w:vAlign w:val="bottom"/>
          </w:tcPr>
          <w:p>
            <w:pPr>
              <w:spacing w:after="0"/>
              <w:rPr>
                <w:sz w:val="18"/>
                <w:szCs w:val="18"/>
                <w:color w:val="auto"/>
              </w:rPr>
            </w:pPr>
          </w:p>
        </w:tc>
        <w:tc>
          <w:tcPr>
            <w:tcW w:w="19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Kohn</w:t>
            </w:r>
          </w:p>
        </w:tc>
        <w:tc>
          <w:tcPr>
            <w:tcW w:w="20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281,500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98,575</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20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225,000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89,337</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20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202,000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70,762</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Mr. White’s employment with the Company ended prior to the award of bonuses by the compensation committee and, therefore, Mr. White did not receive a bonus award. Bonus awards were paid out to NEOs, as well as other high- and mid-level employees, in March 2024, and consistent with prior years bonus awards, in the form of fully-vested stock awards.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Equity-based compensation has been our primary long-term incentive compensation component. Our equity-based compensation is intended to offer both retention incentives and long-term performance, through various equity-based vehicles. We continue to believe that shared financial success in long-term incentives motivates our executive officers to grow revenue and earnings, enhance shareholder value and more closely align the interests of our shareholders and executives. For fiscal year 2024, equity awards represented 82% of total target compensation for our CEO and, on average, 80% of total target compensation for our other NEOs. Equity awards to our executives, including our NEOs, are typically made in the first quarter of the fiscal year.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Long-Term Incentive Design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Beginning in fiscal 2018, we redesigned our annual executive equity award structure to include both restricted stock units (RSUs) and performance-based restricted stock units (PRSUs). Since fiscal year 2020, all NEOs have received 50% of the equity awards as PRSUs and 50% as time-based vesting RSUs. We believe this mix balances our emphasis on tying our long-term financial performance and shareholder value creation to the executive officers’ financial gain, with our need to effectively retain our key talent in a highly competitive market.</w:t>
      </w:r>
    </w:p>
    <w:p>
      <w:pPr>
        <w:spacing w:after="0" w:line="180"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For fiscal year 2024, the Board, upon recommendation of the compensation committee, established a target equity award pool, which included both time-based and performance-based restricted stock units, for our NEOs and certain other high-level employees. Equity award grants were then allocated to these individuals based upon a number of factors, including individual performance, retention needs, historical allocations and competitive market data. The target value of equity awards for NEOs in fiscal year 2024 remained consistent with the awards granted in fiscal year 2023.</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individual annual RSU and PRSU grants for our NEOs for fiscal year 2024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PRSUs</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vMerge w:val="continue"/>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Time-based</w:t>
            </w: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(at Target)</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PRSUs (at</w:t>
            </w:r>
          </w:p>
        </w:tc>
        <w:tc>
          <w:tcPr>
            <w:tcW w:w="0" w:type="dxa"/>
            <w:vAlign w:val="bottom"/>
          </w:tcPr>
          <w:p>
            <w:pPr>
              <w:spacing w:after="0"/>
              <w:rPr>
                <w:sz w:val="1"/>
                <w:szCs w:val="1"/>
                <w:color w:val="auto"/>
              </w:rPr>
            </w:pPr>
          </w:p>
        </w:tc>
      </w:tr>
      <w:tr>
        <w:trPr>
          <w:trHeight w:val="160"/>
        </w:trPr>
        <w:tc>
          <w:tcPr>
            <w:tcW w:w="5460" w:type="dxa"/>
            <w:vAlign w:val="bottom"/>
            <w:gridSpan w:val="2"/>
            <w:vMerge w:val="continue"/>
          </w:tcPr>
          <w:p>
            <w:pPr>
              <w:spacing w:after="0"/>
              <w:rPr>
                <w:sz w:val="13"/>
                <w:szCs w:val="13"/>
                <w:color w:val="auto"/>
              </w:rPr>
            </w:pPr>
          </w:p>
        </w:tc>
        <w:tc>
          <w:tcPr>
            <w:tcW w:w="124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RSUs (#)</w:t>
            </w:r>
          </w:p>
        </w:tc>
        <w:tc>
          <w:tcPr>
            <w:tcW w:w="13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RSUs ($)</w:t>
            </w: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3"/>
                <w:szCs w:val="13"/>
                <w:color w:val="auto"/>
              </w:rPr>
            </w:pPr>
          </w:p>
        </w:tc>
        <w:tc>
          <w:tcPr>
            <w:tcW w:w="9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Target)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Fermi Wang</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27,598</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2,286,218</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27,598</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2,764,492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White</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13,678</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1,133,086</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13,678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1,370,125</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Kohn</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14,663</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1,214,683</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14,663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1,468,793</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13,678</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1,133,086</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13,678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1,370,125</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9,553</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791,371</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9,553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956,924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number of PRSUs granted was determined in the same method as the time-based RSUs, by dividing the target dollar amount by a trailing average closing price on the date of grant. Consistent with prior years, a 30-trading day trailing average was used in determining the average closing price on the date of grant. The grant date fair value of the RSUs for accounting purposes was determined by multiplying the number of shares subject to the RSU by the closing price of our ordinary shares on March 2, 2023, the date of grant of the RSUs, which was $82.84. The grant date fair value of the PRSUs for accounting purposes was determined using a Monte Carlo analysis, which results in a different grant date fair value, and is the value reflected above and in the Summary Compensation and Grants of Plan-Based Awards tables below.</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Time-Based Restricted Stock Unit Design Detail</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One-half of annual equity awards was granted as restricted stock units subject to time-based vesting. These annual restricted stock units granted to our NEOs vest in equal quarterly installments over the three years following grant, subject to the continued service of the executive.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 Program Design Detail</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Since fiscal year 2020, our performance-based equity awards have contained a performance metric tied to the Company’s three-year total shareholder return (TSR). As equity is the largest component of our NEO’s compensation, we believe this structure focuses our management team on long-term value creation for further alignment with shareholder interests. For fiscal years 2020 – 2022, the Company’s TSR was measured against the median company in the PHLX Semiconductor Sector Index (SOX). Beginning in fiscal year 2023, the Company’s TSR is measured against the TSR of an index of the semiconductor companies in the Russell 2000 Index to more closely align with the Company’s size and scale.</w:t>
      </w:r>
    </w:p>
    <w:p>
      <w:pPr>
        <w:spacing w:after="0" w:line="183" w:lineRule="exact"/>
        <w:rPr>
          <w:sz w:val="20"/>
          <w:szCs w:val="20"/>
          <w:color w:val="auto"/>
        </w:rPr>
      </w:pPr>
    </w:p>
    <w:p>
      <w:pPr>
        <w:ind w:left="120" w:right="20" w:firstLine="440"/>
        <w:spacing w:after="0" w:line="216" w:lineRule="auto"/>
        <w:rPr>
          <w:sz w:val="20"/>
          <w:szCs w:val="20"/>
          <w:color w:val="auto"/>
        </w:rPr>
      </w:pPr>
      <w:r>
        <w:rPr>
          <w:rFonts w:ascii="Times New Roman" w:cs="Times New Roman" w:eastAsia="Times New Roman" w:hAnsi="Times New Roman"/>
          <w:sz w:val="18"/>
          <w:szCs w:val="18"/>
          <w:color w:val="auto"/>
        </w:rPr>
        <w:t>For the fiscal 2024 PRSU awards, TSR is calculated using a 50-day average at February 1, 2023 and January 31, 2026. If the relative TSR performance of our ordinary shares for the three-year period of February 1, 2023 to January 31, 2026 is at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TSR of the semiconductor companies included in the Russell 2000 Index over the same period, then 100% of the target number of PRSUs will vest, subject to the executive remaining in service with the company through the vesting date. If the relative TSR performance of our ordinary shares for the three-year period ranks at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or higher over the same period, then 200% of the target PRSUs will vest. If the relative TSR performance of our ordinary shares for the three-year period ranks at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or lower the same period, then 0% of the target PRSUs will vest. For relative TSR performance between these specified threshold and maximum points, the compensation committee will determine the percentage of the target number of PRSUs through straight-line interpolation.</w:t>
      </w:r>
    </w:p>
    <w:p>
      <w:pPr>
        <w:sectPr>
          <w:pgSz w:w="11900" w:h="16838" w:orient="portrait"/>
          <w:cols w:equalWidth="0" w:num="1">
            <w:col w:w="11120"/>
          </w:cols>
          <w:pgMar w:left="320" w:top="482" w:right="459" w:bottom="1440" w:gutter="0" w:footer="0" w:header="0"/>
        </w:sectPr>
      </w:pPr>
    </w:p>
    <w:p>
      <w:pPr>
        <w:spacing w:after="0" w:line="22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Company Relative TSR Performance</w:t>
      </w:r>
    </w:p>
    <w:p>
      <w:pPr>
        <w:spacing w:after="0" w:line="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u w:val="single" w:color="auto"/>
          <w:color w:val="auto"/>
        </w:rPr>
        <w:t>(TSR percentile ranking)</w:t>
      </w:r>
    </w:p>
    <w:p>
      <w:pPr>
        <w:ind w:left="2180"/>
        <w:spacing w:after="0" w:line="213" w:lineRule="auto"/>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or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-146050</wp:posOffset>
            </wp:positionV>
            <wp:extent cx="642937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29375" cy="146050"/>
                    </a:xfrm>
                    <a:prstGeom prst="rect">
                      <a:avLst/>
                    </a:prstGeom>
                    <a:noFill/>
                  </pic:spPr>
                </pic:pic>
              </a:graphicData>
            </a:graphic>
          </wp:anchor>
        </w:drawing>
      </w:r>
    </w:p>
    <w:p>
      <w:pPr>
        <w:ind w:left="2500"/>
        <w:spacing w:after="0" w:line="180" w:lineRule="auto"/>
        <w:rPr>
          <w:sz w:val="20"/>
          <w:szCs w:val="20"/>
          <w:color w:val="auto"/>
        </w:rPr>
      </w:pPr>
      <w:r>
        <w:rPr>
          <w:rFonts w:ascii="Times New Roman" w:cs="Times New Roman" w:eastAsia="Times New Roman" w:hAnsi="Times New Roman"/>
          <w:sz w:val="17"/>
          <w:szCs w:val="17"/>
          <w:color w:val="auto"/>
        </w:rPr>
        <w:t>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0</wp:posOffset>
            </wp:positionV>
            <wp:extent cx="642937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or higher</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Percentage of PRSUs Vesting (as a</w:t>
      </w:r>
    </w:p>
    <w:p>
      <w:pPr>
        <w:spacing w:after="0" w:line="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u w:val="single" w:color="auto"/>
          <w:color w:val="auto"/>
        </w:rPr>
        <w:t>percentage of the Target Number of PRSUs)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0%</w:t>
      </w:r>
    </w:p>
    <w:p>
      <w:pPr>
        <w:spacing w:after="0" w:line="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100%</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200%</w:t>
      </w:r>
    </w:p>
    <w:p>
      <w:pPr>
        <w:spacing w:after="0" w:line="206" w:lineRule="exact"/>
        <w:rPr>
          <w:sz w:val="20"/>
          <w:szCs w:val="20"/>
          <w:color w:val="auto"/>
        </w:rPr>
      </w:pPr>
    </w:p>
    <w:p>
      <w:pPr>
        <w:sectPr>
          <w:pgSz w:w="11900" w:h="16838" w:orient="portrait"/>
          <w:cols w:equalWidth="0" w:num="2">
            <w:col w:w="7260" w:space="720"/>
            <w:col w:w="3140"/>
          </w:cols>
          <w:pgMar w:left="320" w:top="482" w:right="459" w:bottom="1440" w:gutter="0" w:footer="0" w:header="0"/>
          <w:type w:val="continuous"/>
        </w:sectPr>
      </w:pPr>
    </w:p>
    <w:p>
      <w:pPr>
        <w:ind w:left="120" w:right="60"/>
        <w:spacing w:after="0" w:line="241" w:lineRule="auto"/>
        <w:rPr>
          <w:sz w:val="20"/>
          <w:szCs w:val="20"/>
          <w:color w:val="auto"/>
        </w:rPr>
      </w:pPr>
      <w:r>
        <w:rPr>
          <w:rFonts w:ascii="Times New Roman" w:cs="Times New Roman" w:eastAsia="Times New Roman" w:hAnsi="Times New Roman"/>
          <w:sz w:val="18"/>
          <w:szCs w:val="18"/>
          <w:color w:val="auto"/>
        </w:rPr>
        <w:t>For fiscal year 2024, an additional performance metric was added to the PRSUs in the form of a three-year cumulative revenue growth metric (the “Revenue CAGR”) in recognition of the focus on scaling revenue. The Revenue CAGR metric applies only if the Company’s relative TSR performance over the performance period ranks at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or higher of the peer group. The Revenue CAGR metric is a measurement of the Company’s compound annual revenue growth rate over the three-year performance period of February 1, 2023 – January 31, 2026, and was established when the Company’s operating plan projected lower revenue for fiscal year 2024 compared to fiscal year 2023. Achievement of the Revenue CAGR target will result in an increase in the number of PRSU shares earned by up to 50% of the target amount. The percentage of the target amount of PRSUs that are earned pursuant to the Revenue CAGR metric is (a) 0% if the Company’s three-year Revenue CAGR is below 10.0%; and (b) 50% if the Company’s three-year Revenue CAGR is 15.0% or higher. For performance between 10% and 15%, the percentage of PRSU target shares that are earned is determined using linear interpolation.</w:t>
      </w:r>
    </w:p>
    <w:p>
      <w:pPr>
        <w:spacing w:after="0" w:line="19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addition, if our TSR performance over the performance period is negative, the maximum number of fiscal year 2024 PRSUs that may vest is 100% of the target number of PRSUs.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order for fiscal year PRSUs that meet the performance-based metrics to vest, the NEO generally must remain in service to us through March 15,</w:t>
      </w:r>
    </w:p>
    <w:p>
      <w:pPr>
        <w:spacing w:after="0" w:line="39"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2026. These vesting requirements are subject to certain adjustments in connection with a change in control and/or certain terminations of service, as described below under “Employment, Severance and Change of Control Arrangements.”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Fiscal Year 2021 PRSU Grant TSR Performance Certification</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Following the end of fiscal year 2024, the compensation committee certified the relative TSR performance of our ordinary shares under PRSUs granted in 2021 for the three-year period from February 1, 2021 to January 31, 2024. The compensation committee certified the Company’s TSR performance over this period 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approximately -40%, which was 74 percentage points below the TSR of the median company in the SOX Index. As a result of this TSR performance, zero shares were earned for the PRSUs granted in 2021.</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of Control Benefits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Employment of our executive officers is “at will.” Prior to our initial public offering, we entered into severance and change of control agreements with Dr. Wang and Messrs. Kohn, Lee, and Ju, pursuant to which they are entitled to receive compensation and other benefits in connection with certain terminations of employment and terminations of employment in connection with a change of control event. Following his hiring, we entered into a change of control agreement with Mr. White in substantially the same form as Dr. Wang’s and Mr. Kohn’s agreement, except without a tax “gross-up” provision. In addition, in October 2023, the Company entered into a separation agreement and release with Mr. White in connection with his then-pending separation from the Company. Pursuant to this separation agreement, Mr. White received certain separation benefits in exchange for his continued employment through the beginning of fiscal year 2025 and a release of claims in our favor.</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goal in providing certain severance and change of control benefits is to offer sufficient cash continuity protection such that the executive will focus his full time and attention on the requirements of our business rather than the potential implications for his respective position. We prefer to have certainty and internal parity regarding the potential severance amounts payable to our NEOs under certain circumstances, rather than negotiating severance at the time that an NEO’s employment terminates. We have also determined that accelerated vesting provisions are appropriate because they will encourage our NEOs to stay focused on our business in such circumstances, rather than focus on the potential implications for them. In addition, we determined that the separation agreement entered into with Mr. White in connection with his retirement was appropriate to provide for a smooth transition of his responsibilities through the remainder of the year and into the beginning of fiscal year 2025, reward Mr. White for his contributions, and obtain a release of claims and certain other continued obligations from Mr. White.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agreements are described in more detail below under “Employment, Severance and Change of Control Arrangements.”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Broad Based Employee Benefits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believe that establishing competitive benefit packages for our employees is an important factor in attracting and retaining highly qualified personnel. Each NEO is eligible to participate in all of our employee benefit plans generally applicable to employees on a broad basis in the country in which the executive is located. Our U.S.-based NEOs are eligible to participate in our U.S.-based employee benefits plans, such as medical, dental, disability, vision, group life and accidental death and dismemberment insurance, our patent incentive program and our 401(k) plan, in each case on the same basis as other U.S.-based salaried employees. Mr. Chen is based in Taiwan and as a result, he participates in the generally available employee benefit plans maintained for our Taiwan employees. Mr. Ju receives an allowance for housing in Taiwan near our Taiwan office to facilitate his ability to work efficiently when traveling to such office.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offer excessive perquisites to any of our NEOs.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Anti-hedging and Anti-pledging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our insider trading policy, all of our directors and executive officers, including all of our NEOs, are prohibited from any hedging or similar transactions designed to decrease the risks associated with holding our securities. In addition, our NEOs may not pledge our securities as collateral for loans.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have established stock ownership guidelines applicable to our NEOs and non-employee directors. The guidelines promote share ownership by requiring NEOs and non-employee directors to attain and maintain a minimum share ownership level equal to a multiple of his or her base salary or annual cash retainer. The required ownership levels under the guidelines are as follows: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5580" w:type="dxa"/>
            <w:vAlign w:val="bottom"/>
            <w:gridSpan w:val="4"/>
          </w:tcPr>
          <w:p>
            <w:pPr>
              <w:ind w:left="1320"/>
              <w:spacing w:after="0"/>
              <w:rPr>
                <w:sz w:val="20"/>
                <w:szCs w:val="20"/>
                <w:color w:val="auto"/>
              </w:rPr>
            </w:pPr>
            <w:r>
              <w:rPr>
                <w:rFonts w:ascii="Times New Roman" w:cs="Times New Roman" w:eastAsia="Times New Roman" w:hAnsi="Times New Roman"/>
                <w:sz w:val="14"/>
                <w:szCs w:val="14"/>
                <w:b w:val="1"/>
                <w:bCs w:val="1"/>
                <w:color w:val="auto"/>
              </w:rPr>
              <w:t>Ownership Requirement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5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9"/>
              </w:rPr>
              <w:t>5x</w:t>
            </w:r>
          </w:p>
        </w:tc>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Base Salary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Named Executive Officers</w:t>
            </w:r>
          </w:p>
        </w:tc>
        <w:tc>
          <w:tcPr>
            <w:tcW w:w="15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w w:val="99"/>
              </w:rPr>
              <w:t>3x</w:t>
            </w: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Base Salary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Non-Employee Director</w:t>
            </w:r>
          </w:p>
        </w:tc>
        <w:tc>
          <w:tcPr>
            <w:tcW w:w="15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9"/>
              </w:rPr>
              <w:t>5x</w:t>
            </w:r>
          </w:p>
        </w:tc>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Cash Retainer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following equity holdings qualify towards satisfaction of the ownership guidelines: shares owned directly or indirectly by the officer or non-employee director, shares underlying stock options to the extent vested (less the value of the exercise price applicable to such options), and shares underlying restricted stock and other full value awards to the extent vested or that are unvested and for which the only requirement to earn the award is continued service. Shares underlying PRSUs are not included in determining ownership under these guidelines. Should any NEO or non-employee director not satisfy the stock ownership guidelines (as described above) such NEO or non-employee director must retain at least 50% of any net shares derived from vested restricted stock or restricted stock units, exercised stock options or stock purchase plan holdings until his or her guideline is met. As of January 31, 2024, all of our NEOs and non-employee directors satisfied their equity ownership requirements.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first adopted an Executive Compensation Clawback Policy in fiscal year 2017. Under the policy, if we are required to prepare an accounting restatement due to material noncompliance with any financial reporting requirements under the securities laws caused by misconduct, we can seek recoupment from current or former NEOs who participated in the misconduct of an amount corresponding to any performance-based compensation (including any annual bonus or equity-based awards) that the Company determines would not have been granted, vested or paid had the Company’s results as originally reported been equal to the Company’s results as subsequently restated. The policy applies to incentive compensation granted for fiscal years commencing after January 31, 2017.</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November 2023, we adopted a Compensation Recovery Policy designed to comply with the recently adopted Exchange Act rules and Nasdaq listing standards. Pursuant to this policy, in the event that the Company is required to restate its audited financial statements due to material noncompliance with any financial reporting requirement under the securities laws, each current or former executive officer participant shall be required to immediately repay the Company any performance-based compensation, which includes awards under our bonus plan and settlement of any PRSUs, they received while an executive officer, after October 2, 2023 and during the applicable recoupment period (which generally includes the three completed fiscal years prior to the date we conclude, or reasonably should have concluded, that we are required to prepare, or the date on which a court, regulator or other legally authorized body directs us to prepare, a financial restatement) that is in excess of what would have been paid to the executive officer participant under the restated financial statement. The policy applies to incentive compensation received after October 2, 2023.</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 and Accounting Considerations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Deduction Limitation</w:t>
      </w:r>
    </w:p>
    <w:p>
      <w:pPr>
        <w:spacing w:after="0" w:line="11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Section 162(m) of the U.S. Internal Revenue Code of 1986, as amended, or the Internal Revenue Code generally disallows a tax deduction for compensation in excess of $1.0 million paid to our CEO, CFO and certain other employees including our NEOs. While the Board and our compensation committee generally consider the financial accounting and tax implications of compensation decisions, neither element has been a material</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312" w:lineRule="auto"/>
        <w:rPr>
          <w:sz w:val="20"/>
          <w:szCs w:val="20"/>
          <w:color w:val="auto"/>
        </w:rPr>
      </w:pPr>
      <w:r>
        <w:rPr>
          <w:rFonts w:ascii="Times New Roman" w:cs="Times New Roman" w:eastAsia="Times New Roman" w:hAnsi="Times New Roman"/>
          <w:sz w:val="17"/>
          <w:szCs w:val="17"/>
          <w:color w:val="auto"/>
        </w:rPr>
        <w:t>consideration in the compensation awarded to our NEOs historically. To maintain flexibility in compensating our executive officers in a manner designed to achieve our corporate objectives, the Board and compensation committee do not require that all compensation be deductible.</w:t>
      </w:r>
    </w:p>
    <w:p>
      <w:pPr>
        <w:spacing w:after="0" w:line="2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follow FASB ASC Topic 718, Compensation - Stock Compensation, for our stock-based compensation awards. FASB ASC Topic 718 requires us to measure the compensation expense for all share-based payments made to our employees and the members of our Board based on the grant date “fair value” of these awards. This calculation is performed for financial accounting purposes and reported in the compensation tables below, even though recipients may never realize any value from their awards. FASB ASC Topic 718 also requires us to recognize the compensation cost of our share-based compensation awards in our income statements over the requisite employee service period.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r>
        <w:rPr>
          <w:rFonts w:ascii="Times New Roman" w:cs="Times New Roman" w:eastAsia="Times New Roman" w:hAnsi="Times New Roman"/>
          <w:sz w:val="26"/>
          <w:szCs w:val="26"/>
          <w:b w:val="1"/>
          <w:bCs w:val="1"/>
          <w:color w:val="auto"/>
          <w:vertAlign w:val="superscript"/>
        </w:rPr>
        <w:t>2</w:t>
      </w:r>
    </w:p>
    <w:p>
      <w:pPr>
        <w:spacing w:after="0" w:line="13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contained in this Proxy Statement with Ambarella’s management. Based on this review and discussion, the compensation committee has recommended to the Board of Directors that the Compensation Discussion and Analysis be included in Ambarella’s Proxy Statement.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 Jeffrey Richardson (Chairman)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Anne De Greef-Safff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Hsaio-Wuen Hon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Chenming C. Hu</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left="120" w:right="220"/>
        <w:spacing w:after="0" w:line="272" w:lineRule="auto"/>
        <w:rPr>
          <w:sz w:val="20"/>
          <w:szCs w:val="20"/>
          <w:color w:val="auto"/>
        </w:rPr>
      </w:pPr>
      <w:r>
        <w:rPr>
          <w:rFonts w:ascii="Times New Roman" w:cs="Times New Roman" w:eastAsia="Times New Roman" w:hAnsi="Times New Roman"/>
          <w:sz w:val="17"/>
          <w:szCs w:val="17"/>
          <w:color w:val="auto"/>
        </w:rPr>
        <w:t>Our compensation committee assesses and considers potential risks when considering and approving the compensation programs for our executive officers and employees. Based upon this assessment, we believe our compensation programs are structured in a manner that does not create risks reasonably likely to have a material adverse effect on us in the future. Our compensation committee retains oversight of all compensation decisions relating to our executive officers. Our compensation programs are designed with features to address potential risks while rewarding employees and executives for achieving financial and corporate objectives. The primary component of executive incentive compensation is equity awards with multiple-year vesting, which are intended to encourage long-term growth and appreciation in the value of our business and reduce the incentive for executives and other employees to take risks that might increase short-term compensation at the expense of long term Company performance and results. In addition, the total amount of performance-based cash incentives is capped. Moreover, we do not offer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8" w:lineRule="exact"/>
        <w:rPr>
          <w:sz w:val="20"/>
          <w:szCs w:val="20"/>
          <w:color w:val="auto"/>
        </w:rPr>
      </w:pPr>
    </w:p>
    <w:p>
      <w:pPr>
        <w:ind w:left="340" w:hanging="224"/>
        <w:spacing w:after="0" w:line="227" w:lineRule="auto"/>
        <w:tabs>
          <w:tab w:leader="none" w:pos="340"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by Ambarella under the Securities Act of 1933, as amended, or the Securities Exchange Act of 1934, as amended, other than Ambarella’s Annual Report on Form 10-K, where it shall be deemed to be “furnished,” whether made before or after the date hereof and irrespective of any general incorporation language contained in such filing.</w:t>
      </w:r>
    </w:p>
    <w:p>
      <w:pPr>
        <w:spacing w:after="0" w:line="1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320" w:top="482"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 2024</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compensation that we paid or was earned by our chief executive officer, our chief financial officer, each of our three most highly compensated executive officers during the 2024 fiscal year ended January 31, 2024. We refer to these executive officers in this proxy statement as our “named executive officers” (or “NEOs”).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2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8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8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2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Feng Ming (Fermi) Wang,</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561,000</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5,050,710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196,350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5,808,060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Chairman of the Board of</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561,000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5,343,850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5,904,850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Directors, President and</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550,000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4,905,867</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750,000</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6,205,867</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375,524</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2,683,476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98,575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3,159,075</w:t>
            </w: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 and</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375,524</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2,774,233</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3,149,757</w:t>
            </w:r>
          </w:p>
        </w:tc>
        <w:tc>
          <w:tcPr>
            <w:tcW w:w="0" w:type="dxa"/>
            <w:vAlign w:val="bottom"/>
          </w:tcPr>
          <w:p>
            <w:pPr>
              <w:spacing w:after="0"/>
              <w:rPr>
                <w:sz w:val="1"/>
                <w:szCs w:val="1"/>
                <w:color w:val="auto"/>
              </w:rPr>
            </w:pPr>
          </w:p>
        </w:tc>
      </w:tr>
      <w:tr>
        <w:trPr>
          <w:trHeight w:val="23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2422</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368,161</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3,066,272</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450,000</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3,884,433</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 White</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360,000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2,503,211</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2,863,211</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Officer(4)</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303,000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7,835,200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180,000</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8,318,200</w:t>
            </w:r>
          </w:p>
        </w:tc>
        <w:tc>
          <w:tcPr>
            <w:tcW w:w="0" w:type="dxa"/>
            <w:vAlign w:val="bottom"/>
          </w:tcPr>
          <w:p>
            <w:pPr>
              <w:spacing w:after="0"/>
              <w:rPr>
                <w:sz w:val="1"/>
                <w:szCs w:val="1"/>
                <w:color w:val="auto"/>
              </w:rPr>
            </w:pPr>
          </w:p>
        </w:tc>
      </w:tr>
      <w:tr>
        <w:trPr>
          <w:trHeight w:val="30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340,332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2,503,211</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89,337</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2,932,880</w:t>
            </w:r>
          </w:p>
        </w:tc>
        <w:tc>
          <w:tcPr>
            <w:tcW w:w="0" w:type="dxa"/>
            <w:vAlign w:val="bottom"/>
          </w:tcPr>
          <w:p>
            <w:pPr>
              <w:spacing w:after="0"/>
              <w:rPr>
                <w:sz w:val="1"/>
                <w:szCs w:val="1"/>
                <w:color w:val="auto"/>
              </w:rPr>
            </w:pPr>
          </w:p>
        </w:tc>
      </w:tr>
      <w:tr>
        <w:trPr>
          <w:trHeight w:val="218"/>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340,332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2,521,994</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2,862,326</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333,659</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2,453,073</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390,000</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3,176,732</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311,041</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1,748,295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70,762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2,170,098</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Systems</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311,041</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1,815,805</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2,166,846</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304,942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1,717,012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320,000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2,381,954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53"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in this column include aggregate grant date fair values of the RSUs and PRSUs granted in fiscal year 2024, calculated pursuant to FASB ASC Topic 718. These grant date fair values have been determined based on the assumptions described under Note 12 of our financial statements included in our Annual Report on Form 10-K for the year ended January 31, 2024, as filed with the SEC on March 29, 2024. As these values reflect the aggregate grant date fair value in accordance with ASC Topic 718, they do not necessarily correspond to the actual value, if any, that may be realized by the named executive officers. The grant date fair values of the PRSUs were calculated based on the application of a Monte Carlo simulation model to determine the probable outcomes of the market-based performance conditions. The grant date fair values of the PRSUs do not correspond to the actual values that may be recognized by the holders of these awards, which may be higher or lower based on a number of factors, including Ambarella’s performance, the performance of certain semiconductor companies included in the Russell 2000 Index (or the PHLX Semiconductor Sector Index (SOX) as it relates to PRSU awards granted prior to fiscal year 2023), and the satisfaction of applicable time-based vesting conditions. Since certain vesting conditions related to the PRSUs are considered market conditions and not performance conditions pursuant to FASB ASC Topic 718, maximum grant date fair values are not provided in this column. The vesting conditions and other terms of the PRSUs are discussed in more detail in the tables entitled “Grants of Plan-Based Awards in Fiscal Year 2024” and “Outstanding Equity Awards at 2024 Fiscal Year End” and in “Compensation Discussion and Analysis.”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right="580"/>
        <w:spacing w:after="0" w:line="282" w:lineRule="auto"/>
        <w:rPr>
          <w:sz w:val="20"/>
          <w:szCs w:val="20"/>
          <w:color w:val="auto"/>
        </w:rPr>
      </w:pPr>
      <w:r>
        <w:rPr>
          <w:rFonts w:ascii="Times New Roman" w:cs="Times New Roman" w:eastAsia="Times New Roman" w:hAnsi="Times New Roman"/>
          <w:sz w:val="18"/>
          <w:szCs w:val="18"/>
          <w:color w:val="auto"/>
        </w:rPr>
        <w:t>The table below sets forth the maximum grant date fair values of the PRSUs granted to Ambarella’s NEOs in fiscal year 2024 assuming all performance conditions are achieved at maximum levels and based upon the fair market value of the awards on the date of grant:</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40" w:type="dxa"/>
            <w:vAlign w:val="bottom"/>
            <w:vMerge w:val="restart"/>
          </w:tcPr>
          <w:p>
            <w:pPr>
              <w:spacing w:after="0"/>
              <w:rPr>
                <w:sz w:val="13"/>
                <w:szCs w:val="13"/>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46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5"/>
                <w:szCs w:val="15"/>
                <w:color w:val="auto"/>
              </w:rPr>
            </w:pPr>
          </w:p>
        </w:tc>
        <w:tc>
          <w:tcPr>
            <w:tcW w:w="1360" w:type="dxa"/>
            <w:vAlign w:val="bottom"/>
            <w:gridSpan w:val="2"/>
          </w:tcPr>
          <w:p>
            <w:pPr>
              <w:ind w:left="380"/>
              <w:spacing w:after="0" w:line="160" w:lineRule="exact"/>
              <w:rPr>
                <w:sz w:val="20"/>
                <w:szCs w:val="20"/>
                <w:color w:val="auto"/>
              </w:rPr>
            </w:pPr>
            <w:r>
              <w:rPr>
                <w:rFonts w:ascii="Times New Roman" w:cs="Times New Roman" w:eastAsia="Times New Roman" w:hAnsi="Times New Roman"/>
                <w:sz w:val="14"/>
                <w:szCs w:val="14"/>
                <w:b w:val="1"/>
                <w:bCs w:val="1"/>
                <w:color w:val="auto"/>
              </w:rPr>
              <w:t>Value ($)</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Fermi Wang</w:t>
            </w: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68,995</w:t>
            </w:r>
          </w:p>
        </w:tc>
        <w:tc>
          <w:tcPr>
            <w:tcW w:w="7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75.92</w:t>
            </w:r>
          </w:p>
        </w:tc>
        <w:tc>
          <w:tcPr>
            <w:tcW w:w="7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5,238,100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36,658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2,783,037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White</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34,195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34,195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2,596,084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23,883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100" w:hanging="424"/>
        <w:spacing w:after="0" w:line="257"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performance-based bonuses paid to our executive officers for performance for the fiscal years ended January 31, 2024, 2023 and 2022, which were paid in fully-vested stock awards. Mr. White’s employment with the Company ended prior to the compensation committee’s award of bonuses.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allowance for housing for Mr. Ju in Taiwan near our Taiwan office.</w:t>
      </w:r>
    </w:p>
    <w:p>
      <w:pPr>
        <w:spacing w:after="0" w:line="9" w:lineRule="exact"/>
        <w:rPr>
          <w:rFonts w:ascii="Times New Roman" w:cs="Times New Roman" w:eastAsia="Times New Roman" w:hAnsi="Times New Roman"/>
          <w:sz w:val="18"/>
          <w:szCs w:val="18"/>
          <w:color w:val="auto"/>
        </w:rPr>
      </w:pPr>
    </w:p>
    <w:p>
      <w:pPr>
        <w:ind w:left="540" w:right="520" w:hanging="424"/>
        <w:spacing w:after="0" w:line="26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White joined the Company in March 2022. His annual base salary for fiscal year 2023 was $360,000. Mr. White’s employment with the Company ended in February 2024.</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Year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for each of the NEOs, certain information concerning all plan-based awards made in fiscal year ended January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This information supplements the information about these awards set forth in the Summary Compensation Table.</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gridSpan w:val="7"/>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 Future Payout</w:t>
            </w:r>
          </w:p>
        </w:tc>
        <w:tc>
          <w:tcPr>
            <w:tcW w:w="256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60" w:type="dxa"/>
            <w:vAlign w:val="bottom"/>
            <w:gridSpan w:val="7"/>
            <w:vMerge w:val="continue"/>
          </w:tcPr>
          <w:p>
            <w:pPr>
              <w:spacing w:after="0"/>
              <w:rPr>
                <w:sz w:val="8"/>
                <w:szCs w:val="8"/>
                <w:color w:val="auto"/>
              </w:rPr>
            </w:pPr>
          </w:p>
        </w:tc>
        <w:tc>
          <w:tcPr>
            <w:tcW w:w="2560" w:type="dxa"/>
            <w:vAlign w:val="bottom"/>
            <w:gridSpan w:val="6"/>
            <w:vMerge w:val="continue"/>
          </w:tcPr>
          <w:p>
            <w:pPr>
              <w:spacing w:after="0"/>
              <w:rPr>
                <w:sz w:val="8"/>
                <w:szCs w:val="8"/>
                <w:color w:val="auto"/>
              </w:rPr>
            </w:pPr>
          </w:p>
        </w:tc>
        <w:tc>
          <w:tcPr>
            <w:tcW w:w="9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60" w:type="dxa"/>
            <w:vAlign w:val="bottom"/>
            <w:gridSpan w:val="7"/>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2560" w:type="dxa"/>
            <w:vAlign w:val="bottom"/>
            <w:gridSpan w:val="6"/>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Incentive Plan</w:t>
            </w:r>
          </w:p>
        </w:tc>
        <w:tc>
          <w:tcPr>
            <w:tcW w:w="92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60" w:type="dxa"/>
            <w:vAlign w:val="bottom"/>
            <w:gridSpan w:val="7"/>
            <w:vMerge w:val="continue"/>
          </w:tcPr>
          <w:p>
            <w:pPr>
              <w:spacing w:after="0"/>
              <w:rPr>
                <w:sz w:val="8"/>
                <w:szCs w:val="8"/>
                <w:color w:val="auto"/>
              </w:rPr>
            </w:pPr>
          </w:p>
        </w:tc>
        <w:tc>
          <w:tcPr>
            <w:tcW w:w="2560" w:type="dxa"/>
            <w:vAlign w:val="bottom"/>
            <w:gridSpan w:val="6"/>
            <w:vMerge w:val="continue"/>
          </w:tcPr>
          <w:p>
            <w:pPr>
              <w:spacing w:after="0"/>
              <w:rPr>
                <w:sz w:val="8"/>
                <w:szCs w:val="8"/>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3"/>
            <w:vMerge w:val="restart"/>
          </w:tcPr>
          <w:p>
            <w:pPr>
              <w:jc w:val="center"/>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gridSpan w:val="2"/>
            <w:vMerge w:val="restart"/>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4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 or</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5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2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62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3"/>
                <w:szCs w:val="13"/>
                <w:color w:val="auto"/>
              </w:rPr>
            </w:pPr>
          </w:p>
        </w:tc>
        <w:tc>
          <w:tcPr>
            <w:tcW w:w="800" w:type="dxa"/>
            <w:vAlign w:val="bottom"/>
            <w:gridSpan w:val="2"/>
          </w:tcPr>
          <w:p>
            <w:pPr>
              <w:jc w:val="center"/>
              <w:ind w:left="56"/>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3"/>
                <w:szCs w:val="13"/>
                <w:color w:val="auto"/>
              </w:rPr>
            </w:pPr>
          </w:p>
        </w:tc>
        <w:tc>
          <w:tcPr>
            <w:tcW w:w="64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60" w:type="dxa"/>
            <w:vAlign w:val="bottom"/>
          </w:tcPr>
          <w:p>
            <w:pPr>
              <w:spacing w:after="0"/>
              <w:rPr>
                <w:sz w:val="13"/>
                <w:szCs w:val="13"/>
                <w:color w:val="auto"/>
              </w:rPr>
            </w:pPr>
          </w:p>
        </w:tc>
        <w:tc>
          <w:tcPr>
            <w:tcW w:w="620" w:type="dxa"/>
            <w:vAlign w:val="bottom"/>
          </w:tcPr>
          <w:p>
            <w:pPr>
              <w:jc w:val="right"/>
              <w:ind w:right="58"/>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3"/>
                <w:szCs w:val="13"/>
                <w:color w:val="auto"/>
              </w:rPr>
            </w:pPr>
          </w:p>
        </w:tc>
        <w:tc>
          <w:tcPr>
            <w:tcW w:w="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3"/>
                <w:szCs w:val="13"/>
                <w:color w:val="auto"/>
              </w:rPr>
            </w:pPr>
          </w:p>
        </w:tc>
        <w:tc>
          <w:tcPr>
            <w:tcW w:w="66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4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20"/>
        </w:trPr>
        <w:tc>
          <w:tcPr>
            <w:tcW w:w="29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Fermi Wang</w:t>
            </w: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3/2/2023</w:t>
            </w:r>
          </w:p>
        </w:tc>
        <w:tc>
          <w:tcPr>
            <w:tcW w:w="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70"/>
              </w:rPr>
              <w:t>0</w:t>
            </w:r>
          </w:p>
        </w:tc>
        <w:tc>
          <w:tcPr>
            <w:tcW w:w="10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561,000</w:t>
            </w:r>
          </w:p>
        </w:tc>
        <w:tc>
          <w:tcPr>
            <w:tcW w:w="2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841,500</w:t>
            </w:r>
          </w:p>
        </w:tc>
        <w:tc>
          <w:tcPr>
            <w:tcW w:w="2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27,598</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2,286,218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4/3/2023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27,598</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68,995</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2,764,492</w:t>
            </w:r>
          </w:p>
        </w:tc>
        <w:tc>
          <w:tcPr>
            <w:tcW w:w="0" w:type="dxa"/>
            <w:vAlign w:val="bottom"/>
          </w:tcPr>
          <w:p>
            <w:pPr>
              <w:spacing w:after="0"/>
              <w:rPr>
                <w:sz w:val="1"/>
                <w:szCs w:val="1"/>
                <w:color w:val="auto"/>
              </w:rPr>
            </w:pPr>
          </w:p>
        </w:tc>
      </w:tr>
      <w:tr>
        <w:trPr>
          <w:trHeight w:val="32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w:t>
            </w:r>
          </w:p>
        </w:tc>
        <w:tc>
          <w:tcPr>
            <w:tcW w:w="11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3/2/2023</w:t>
            </w:r>
          </w:p>
        </w:tc>
        <w:tc>
          <w:tcPr>
            <w:tcW w:w="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281,500</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422,250</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14,663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1,214,683</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4/3/2023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14,663</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36,658</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1,468,793</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White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270,000</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405,000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13,678</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1,133,086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3/2/2023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4/3/2023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13,678</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34,195</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1,370,125</w:t>
            </w:r>
          </w:p>
        </w:tc>
        <w:tc>
          <w:tcPr>
            <w:tcW w:w="0" w:type="dxa"/>
            <w:vAlign w:val="bottom"/>
          </w:tcPr>
          <w:p>
            <w:pPr>
              <w:spacing w:after="0"/>
              <w:rPr>
                <w:sz w:val="1"/>
                <w:szCs w:val="1"/>
                <w:color w:val="auto"/>
              </w:rPr>
            </w:pPr>
          </w:p>
        </w:tc>
      </w:tr>
      <w:tr>
        <w:trPr>
          <w:trHeight w:val="32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11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3/2/2023</w:t>
            </w:r>
          </w:p>
        </w:tc>
        <w:tc>
          <w:tcPr>
            <w:tcW w:w="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255,000</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382,500</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13,678</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1,133,086</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4/3/2023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13,678</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34,195</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1,370,125</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202,000</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303,000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9,553</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791,371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3/2/2023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4/3/2023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9,553</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23,883</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66"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non-equity incentive plan awards, and how they were determined, are based upon a structure that includes some discretion as to amounts paid to each NEO, as discussed above in the “Compensation Discussion and Analysis.” The amounts listed in this table represent the threshold, target and maximum amounts that would have been earned under the Fiscal Year 2024 Annual Bonus Plan assuming each NEO</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160"/>
        <w:spacing w:after="0" w:line="254" w:lineRule="auto"/>
        <w:rPr>
          <w:sz w:val="20"/>
          <w:szCs w:val="20"/>
          <w:color w:val="auto"/>
        </w:rPr>
      </w:pPr>
      <w:r>
        <w:rPr>
          <w:rFonts w:ascii="Times New Roman" w:cs="Times New Roman" w:eastAsia="Times New Roman" w:hAnsi="Times New Roman"/>
          <w:sz w:val="18"/>
          <w:szCs w:val="18"/>
          <w:color w:val="auto"/>
        </w:rPr>
        <w:t>received their bonus target amount. No amounts are earned for failure to achieve any of the threshold revenue, operating profit before bonus or strategic objectives goals. The actual percentage of the bonus pool allocated to each individual is determined following completion of the fiscal year based on a variety of factors, including historical allocation, the executive’s individual contributions and retention considerations, as well as taking into consideration the CEO’s recommendations. The actual allocation of bonuses paid to our NEOs for fiscal year 2024 is reflected in the “Summary Compensation Table” above and in the “Compensation Discussion and Analysis.”</w:t>
      </w:r>
    </w:p>
    <w:p>
      <w:pPr>
        <w:spacing w:after="0" w:line="3" w:lineRule="exact"/>
        <w:rPr>
          <w:sz w:val="20"/>
          <w:szCs w:val="20"/>
          <w:color w:val="auto"/>
        </w:rPr>
      </w:pPr>
    </w:p>
    <w:p>
      <w:pPr>
        <w:ind w:left="540" w:right="8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shares potentially issuable pursuant to performance-based restricted stock units (or PRSUs) granted on April 3, 2023, under our 2021 Equity Incentive Plan. These awards have both “performance” and “continued service” conditions that must be met in order for the executive to receive the shares. Pursuant to the time-based vesting requirements, the target number of shares underlying the equity awards is scheduled to vest on March 15, 2026, subject to continued service through the scheduled vesting date and subject to increase or decrease by 100% of target based on attainment of specified levels of the Company’s total shareholder return (TSR) over the three-year period ending January 31, 2026, as measured against the median TSR of the semiconductor companies in the Russell 2000 Index, and subject to increase by up to 50% based on achievement of a three-year cumulative annual revenue growth rate (or Revenue CAGR). The “maximum” level represents the best case TSR and Revenue CAGR performance scenario.</w:t>
      </w:r>
    </w:p>
    <w:p>
      <w:pPr>
        <w:spacing w:after="0" w:line="3"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 grants vesting quarterly over a period of three years, subject to continued service through the applicable vesting dates.</w:t>
      </w:r>
    </w:p>
    <w:p>
      <w:pPr>
        <w:ind w:left="540" w:right="300" w:hanging="424"/>
        <w:spacing w:after="0" w:line="26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in this column do not reflect dollar amounts actually received by our NEOs. Instead, these amounts represent the aggregate full grant date fair value calculated in accordance with FASB ASC Topic 718.</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Fiscal Year 2024</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concerning value realized upon the vesting of restricted stock unit grants by the NEOs during fiscal year 2024. No options were exercised by the NEOs during fiscal year 2024.</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0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Borders>
              <w:top w:val="single" w:sz="8" w:color="auto"/>
            </w:tcBorders>
          </w:tcPr>
          <w:p>
            <w:pPr>
              <w:spacing w:after="0"/>
              <w:rPr>
                <w:sz w:val="10"/>
                <w:szCs w:val="10"/>
                <w:color w:val="auto"/>
              </w:rPr>
            </w:pPr>
          </w:p>
        </w:tc>
        <w:tc>
          <w:tcPr>
            <w:tcW w:w="734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720" w:type="dxa"/>
            <w:vAlign w:val="bottom"/>
            <w:tcBorders>
              <w:top w:val="single" w:sz="8" w:color="auto"/>
            </w:tcBorders>
            <w:gridSpan w:val="2"/>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734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gridSpan w:val="2"/>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on Vesting ($)</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73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on Vesting (#)</w:t>
            </w:r>
          </w:p>
        </w:tc>
        <w:tc>
          <w:tcPr>
            <w:tcW w:w="920" w:type="dxa"/>
            <w:vAlign w:val="bottom"/>
          </w:tcPr>
          <w:p>
            <w:pPr>
              <w:jc w:val="right"/>
              <w:ind w:right="297"/>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Fermi Wang</w:t>
            </w:r>
          </w:p>
        </w:tc>
        <w:tc>
          <w:tcPr>
            <w:tcW w:w="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55,406</w:t>
            </w:r>
          </w:p>
        </w:tc>
        <w:tc>
          <w:tcPr>
            <w:tcW w:w="6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4,110,225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w:t>
            </w:r>
          </w:p>
        </w:tc>
        <w:tc>
          <w:tcPr>
            <w:tcW w:w="23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37,707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2,814,288</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White</w:t>
            </w:r>
          </w:p>
        </w:tc>
        <w:tc>
          <w:tcPr>
            <w:tcW w:w="23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38,419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2,806,086</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23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31,637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2,357,607</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23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18,744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1,389,346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0" w:hanging="424"/>
        <w:spacing w:after="0" w:line="28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calculated by multiplying the number of shares of stock by the market value of the underlying shares on each vesting date.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held by our NEOs at the end of fiscal year 2024.</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Borders>
              <w:top w:val="single" w:sz="8" w:color="auto"/>
            </w:tcBorders>
          </w:tcPr>
          <w:p>
            <w:pPr>
              <w:spacing w:after="0"/>
              <w:rPr>
                <w:sz w:val="10"/>
                <w:szCs w:val="10"/>
                <w:color w:val="auto"/>
              </w:rPr>
            </w:pPr>
          </w:p>
        </w:tc>
        <w:tc>
          <w:tcPr>
            <w:tcW w:w="38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Borders>
              <w:top w:val="single" w:sz="8" w:color="auto"/>
            </w:tcBorders>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8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3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340" w:type="dxa"/>
            <w:vAlign w:val="bottom"/>
          </w:tcPr>
          <w:p>
            <w:pPr>
              <w:spacing w:after="0"/>
              <w:rPr>
                <w:sz w:val="15"/>
                <w:szCs w:val="15"/>
                <w:color w:val="auto"/>
              </w:rPr>
            </w:pPr>
          </w:p>
        </w:tc>
        <w:tc>
          <w:tcPr>
            <w:tcW w:w="12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11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58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Fermi Wang</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36,000</w:t>
            </w: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$ 38.92</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9/7/2024</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6"/>
              </w:rPr>
              <w:t>$ 41.36</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3/06/2026</w:t>
            </w:r>
          </w:p>
        </w:tc>
        <w:tc>
          <w:tcPr>
            <w:tcW w:w="116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1,468(3)</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77,158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17,609(4)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925,529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11,205(5)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588,935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26,890(6)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1,413,338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20,699(7)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1,087,939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27,598(8)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1,450,551</w:t>
            </w:r>
          </w:p>
        </w:tc>
        <w:tc>
          <w:tcPr>
            <w:tcW w:w="0" w:type="dxa"/>
            <w:vAlign w:val="bottom"/>
          </w:tcPr>
          <w:p>
            <w:pPr>
              <w:spacing w:after="0"/>
              <w:rPr>
                <w:sz w:val="1"/>
                <w:szCs w:val="1"/>
                <w:color w:val="auto"/>
              </w:rPr>
            </w:pPr>
          </w:p>
        </w:tc>
      </w:tr>
      <w:tr>
        <w:trPr>
          <w:trHeight w:val="198"/>
        </w:trPr>
        <w:tc>
          <w:tcPr>
            <w:tcW w:w="4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Leslie Kohn</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918(3)</w:t>
            </w:r>
          </w:p>
        </w:tc>
        <w:tc>
          <w:tcPr>
            <w:tcW w:w="8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48,250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11,006(4)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578,475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5,926(5)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311,471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14,221(6)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747,456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10,998(7)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578,055</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14,663(8)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770,687</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White</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45,000(9)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2,365,200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10,259(7)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539,213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13,678(8)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718,916</w:t>
            </w:r>
          </w:p>
        </w:tc>
        <w:tc>
          <w:tcPr>
            <w:tcW w:w="0" w:type="dxa"/>
            <w:vAlign w:val="bottom"/>
          </w:tcPr>
          <w:p>
            <w:pPr>
              <w:spacing w:after="0"/>
              <w:rPr>
                <w:sz w:val="1"/>
                <w:szCs w:val="1"/>
                <w:color w:val="auto"/>
              </w:rPr>
            </w:pPr>
          </w:p>
        </w:tc>
      </w:tr>
      <w:tr>
        <w:trPr>
          <w:trHeight w:val="198"/>
        </w:trPr>
        <w:tc>
          <w:tcPr>
            <w:tcW w:w="4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 Lee</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734(3)</w:t>
            </w:r>
          </w:p>
        </w:tc>
        <w:tc>
          <w:tcPr>
            <w:tcW w:w="8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38,579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8,805(4)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462,791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5,387(5)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283,141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12,928(6)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679,496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10,259(7)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539,213</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13,678(8)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718,916</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8,900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6"/>
              </w:rPr>
              <w:t>$ 38.92</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9/7/2024</w:t>
            </w:r>
          </w:p>
        </w:tc>
        <w:tc>
          <w:tcPr>
            <w:tcW w:w="116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514(3)</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27,016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6,163(4)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323,927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3,879(5)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203,880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9,308(6)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489,228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7,165(7)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376,592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9,553(8)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80" w:hanging="424"/>
        <w:spacing w:after="0" w:line="261"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each equity award pursuant to the vesting schedules described in the footnotes to the above table is contingent upon the executive officer’s continued service to the Company through the applicable vesting dates.</w:t>
      </w:r>
    </w:p>
    <w:p>
      <w:pPr>
        <w:jc w:val="both"/>
        <w:ind w:left="540" w:right="24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under “Market Value of Shares of Stock or Units That Have Not Vested” were calculated as the product of the closing price of our ordinary shares on the Nasdaq Global Select Market on January 31, 2024, which was $52.56, and the number of shares subject to the applicable restricted stock unit award.</w:t>
      </w:r>
    </w:p>
    <w:p>
      <w:pPr>
        <w:spacing w:after="0" w:line="1"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restricted stock unit award vest over a three-year period commencing on June 15, 2021, with 1/12 of the shares vesting on a quarterly basis.</w:t>
      </w:r>
    </w:p>
    <w:p>
      <w:pPr>
        <w:ind w:left="540" w:right="720" w:hanging="424"/>
        <w:spacing w:after="0" w:line="26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 an award of performance-based restricted stock units covering a target number of shares. Pursuant to time-based vesting requirements, this award was scheduled to vest on March 15, 2024, subject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220"/>
        <w:spacing w:after="0" w:line="255" w:lineRule="auto"/>
        <w:rPr>
          <w:sz w:val="20"/>
          <w:szCs w:val="20"/>
          <w:color w:val="auto"/>
        </w:rPr>
      </w:pPr>
      <w:r>
        <w:rPr>
          <w:rFonts w:ascii="Times New Roman" w:cs="Times New Roman" w:eastAsia="Times New Roman" w:hAnsi="Times New Roman"/>
          <w:sz w:val="18"/>
          <w:szCs w:val="18"/>
          <w:color w:val="auto"/>
        </w:rPr>
        <w:t>to continued service requirements. The number of shares eligible to vest on March 15, 2024 could be increased or decreased by 100%, or may remain the same, based upon attainment of specified levels of the Company’s total shareholder return over the three-year period ending January 31, 2024. Based on the Company’s total shareholder return over the performance period, the number of shares that vested on March 15, 2024 was 0% of the target amount.</w:t>
      </w:r>
    </w:p>
    <w:p>
      <w:pPr>
        <w:spacing w:after="0" w:line="3" w:lineRule="exact"/>
        <w:rPr>
          <w:sz w:val="20"/>
          <w:szCs w:val="20"/>
          <w:color w:val="auto"/>
        </w:rPr>
      </w:pPr>
    </w:p>
    <w:p>
      <w:pPr>
        <w:ind w:left="540" w:right="200" w:hanging="424"/>
        <w:spacing w:after="0" w:line="25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restricted stock unit award vest over a three-year period commencing on June 15, 2022, with 1/12 of the shares vesting on a quarterly basis.</w:t>
      </w:r>
    </w:p>
    <w:p>
      <w:pPr>
        <w:ind w:left="540" w:right="80" w:hanging="424"/>
        <w:spacing w:after="0" w:line="25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 an award of performance-based restricted stock units covering a target number of shares. Pursuant to time-based vesting requirements, up to 100% of this award is scheduled to vest on March 15, 2025, subject to continued service requirements. The number of shares eligible to vest on March 15, 2025 may be increased or decreased by 100%, or may remain the same, based upon attainment of specified levels of the Company’s total shareholder return over the three-year period ending January 31, 2025.</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restricted stock unit award vest over a three-year period commencing on March 15, 2023, with 1/12 of the shares vesting on a quarterly basis.</w:t>
      </w:r>
    </w:p>
    <w:p>
      <w:pPr>
        <w:ind w:left="540" w:right="80" w:hanging="424"/>
        <w:spacing w:after="0" w:line="25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 an award of performance-based restricted stock units covering a target number of shares. Pursuant to time-based vesting requirements, up to 100% of this award is scheduled to vest on March 15, 2026, subject to continued service requirements. The number of shares eligible to vest on March 15, 2026 may be increased or decreased by 150%, or may remain the same, based upon attainment of specified levels of the Company’s (a) total shareholder return and (b) cumulative annual revenue growth rate, over the three-year period ending January 31, 2026.</w:t>
      </w:r>
    </w:p>
    <w:p>
      <w:pPr>
        <w:spacing w:after="0" w:line="1" w:lineRule="exact"/>
        <w:rPr>
          <w:rFonts w:ascii="Times New Roman" w:cs="Times New Roman" w:eastAsia="Times New Roman" w:hAnsi="Times New Roman"/>
          <w:sz w:val="18"/>
          <w:szCs w:val="18"/>
          <w:color w:val="auto"/>
        </w:rPr>
      </w:pPr>
    </w:p>
    <w:p>
      <w:pPr>
        <w:ind w:left="540" w:right="60" w:hanging="424"/>
        <w:spacing w:after="0" w:line="26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restricted stock unit award vest over a three-year period commencing on March 15, 2022, with 1/12 of the shares vesting on a quarterly basis.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Broad Based Employee Benefits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believe that establishing competitive benefit packages for our employees is an important factor in attracting and retaining highly qualified personnel. Our NEOs are eligible to participate in all of our employee benefit plans, such as medical, dental, disability, vision, group life and accidental death and dismemberment insurance, our patent incentive program and our 401(k) plan, in each case on the same basis as other U.S.-based salaried employees. Mr. Chen is based in Taiwan and as a result, he participates in the generally available employee benefit plans maintained for our Taiwan employees. We do not offer club memberships, automobile allowances, tickets to sporting events or concerts or other perquisites to any of our NEOs as that would be inconsistent with our egalitarian corporate culture.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Aside from our 401(k) plan, we do not maintain any pension plan or arrangement under which our NEOs are entitled to participate or receive post-retirement benefits.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maintain any nonqualified deferred compensation plans or arrangements under which our NEOs are entitled to participate.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Severance Arrangements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change of control and severance agreements with each of our NEOs. Pursuant to such agreements, upon a termination of such NEO by us other than for cause occurring more than three months before or twelve months following a change of control, subject to the execution of a general release of claims, such NEO is entitled to:</w:t>
      </w:r>
    </w:p>
    <w:p>
      <w:pPr>
        <w:spacing w:after="0" w:line="8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accrued salary and vacation;</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lump sum equal to 100% (Dr. Wang and Messrs. Kohn and White) or 50% (Messrs. Lee and Ju) of the executive officer’s then-current annual base salary;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prorated portion of the executive officer’s annual target bonus;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acceleration of twelve months (Dr. Wang and Messrs. Kohn and White) or six months (Messrs. Lee and Ju) of vesting of outstanding options and restricted stock unit (“RSU”) awards; however, the award agreement governing the performance-based restricted stock units modify this treatment with respect to such awards, as described below; and</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premiums for COBRA continuation coverage for up to twelve months (Dr. Wang and Messrs. Kohn and White) or six months (Messrs. Lee and Ju) after the date of termination.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Mr. White retired from the Company on February 2, 2024, and was not eligible for payments or benefits under his change of control and severance agreement. However, in October 2023, we entered into a separation agreement and release (the “Separation Agreement”) with Mr. White, pursuant to which he received certain payments and benefits.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Separation Agreement provided that, subject to his continued employment with the Company through February 2, 2024 (or any earlier date determined by the Company in its discretion), and his execution of a supplemental release of claims in favor of the Company, Mr. White became entitled to receive the following:</w:t>
      </w:r>
    </w:p>
    <w:p>
      <w:pPr>
        <w:spacing w:after="0" w:line="81" w:lineRule="exact"/>
        <w:rPr>
          <w:sz w:val="20"/>
          <w:szCs w:val="20"/>
          <w:color w:val="auto"/>
        </w:rPr>
      </w:pPr>
    </w:p>
    <w:p>
      <w:pPr>
        <w:ind w:left="1080" w:right="40" w:hanging="424"/>
        <w:spacing w:after="0" w:line="254"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in the amount of $630,000, representing 12 months of his base salary plus his target bonus under our fiscal year 2023 bonus program. However, in our sole discretion, in lieu of this cash payment, we were entitled to issue Mr. White an award of restricted stock units covering the number of our ordinary shares equal to (i) $693,000 (which is 110% of the cash payment otherwise payable to him) divided by (ii) the closing price of a share on the last trading day prior to his retirement date. Pursuant to the Separation Agreement, 100% of these restricted stock units vested subject to his continued employment through his scheduled February 2, 2024 separation date and become payable contingent on the timely effectiveness and irrevocability of a supplemental release of claims in favor of the Company. Mr. White’s supplemental release became effective, and we chose to issue the restricted stock units to Mr. White in lieu of the cash payment.</w:t>
      </w:r>
    </w:p>
    <w:p>
      <w:pPr>
        <w:spacing w:after="0" w:line="9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of certain restricted stock units previously awarded to Mr. White under the 2021 Equity Incentive Plan to the extent Mr. White would have vested in such awards had he remained employed with the Company through the one-year anniversary of his separation date, as a result of which a total of 24,559 restricted stock units accelerated;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continued health benefits under COBRA for a period of up to twelve months.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of Control Arrangements</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the change of control and severance agreements, upon a termination of the NEO by us other than for cause or, if such officer resigns for good reason, within three months before or twelve months following a change of control, subject to the execution of a general release of claims, our NEOs are entitled to:</w:t>
      </w:r>
    </w:p>
    <w:p>
      <w:pPr>
        <w:spacing w:after="0" w:line="8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accrued salary and vacation;</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lump sum equal to 100% of the executive officer’s then-current annual base salary (or, if greater, at the level in effect immediately prior to the change of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prorated portion of the executive officer’s annual target bonus;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has been employed for at least 12 months, immediate acceleration of vesting of 100% (Dr. Wang and Messrs. Kohn and White) or 50% (Messrs. Lee and Ju) of outstanding options and RSU awards; however, the award agreement governing the performance-based restricted stock units modify this treatment with respect to such awards, as described below;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premiums for COBRA continuation coverage for up to twelve months after the date of termination.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Severance Upon Death or Disability</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Pursuant to the change of control and severance agreements, if the NEO terminates due to the NEO’s death or disability (as defined in the agreements) subject to the execution of a general release of claims, such NEO is entitled to payment of a lump sum equal to 100% of the executive officer’s then-current annual base salary. With respect to Messrs. Lee and Ju only, this amount is reduced to 50% of their then-current annual base salary if such termination occurs more than three months before or twelve months following a change of control.</w:t>
      </w:r>
    </w:p>
    <w:p>
      <w:pPr>
        <w:spacing w:after="0" w:line="180"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In addition to the foregoing benefits, Dr. Wang and Mr. Kohn also would receive a gross-up payment if such officer is required to pay excise tax under Section 4999 of the Internal Revenue Code, with the amount of such gross-up payment equal to the amount of excise tax. No other executive would receive a gross-up payment. In the event that the severance and other benefits payable to Messrs. Lee, Ju, and White constitute “parachute payments” under Section 280G of the Internal Revenue Code and would be subject to the excise tax imposed by Section 4999 of the Internal Revenue Code, then such executive’s benefits will be either (i) delivered in full or (ii) delivered to such lesser extent which would result in no portion of such benefits being subject to the excise tax, whichever results in the receipt by such executive on an after-tax basis of the greatest amount of benefits.</w:t>
      </w:r>
    </w:p>
    <w:p>
      <w:pPr>
        <w:spacing w:after="0" w:line="17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change of control and severance agreements above, the term “cause” generally means the occurrence of any of the following events: (i) the executive officer’s willful and continued failure to substantially perform the duties of his position (other than failure resulting from the executive officer’s complete or partial incapacity due to physical or mental illness or impairment); (ii) the executive officer’s willful and continued failure to substantially perform the lawful and specific directives of the Board, as reasonably determined by the Board (other than failure resulting from the executive officer’s complete or partial incapacity due to physical or mental illness or impairment); (iii) the executive officer’s willful commission of an act of fraud or dishonesty resulting in, or is likely to result in, material economic or financial injury to us; or (iv) the executive officer’s willful engagement in illegal conduct that was or is reasonably likely to be materially injurious to us; provided that we have provided to the executive officer any requisite notice in a timely manner and, if permitted to correct the deficiency (with respect to failures to substantially perform under clauses (i) or (ii) only), the executive officer has failed to do so.</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change of control and severance agreements above, “change of control” generally means the occurrence of any of the following events: (i) any person acquires ownership of our securities representing more than 50% of the total voting power of our stock (except that any change in the ownership of our ordinary shares as a result of a private financing that is approved by the Board will not be considered a change of control); (ii) any person acquires 50% or more of the total gross fair market value of our assets over a twelve-month period; (iii) the consummation of our merger or consolidation with any other entity, other than a merger or consolidation that would result in our voting securities outstanding immediately prior thereto continuing to represent more than 50% of the combined voting power of the voting securities of the surviving entity outstanding immediately after such merger or consolidation and with the power to elect at least a majority of the Board or other governing body of such surviving entity; or (iv) the replacement of a majority of the Board during any twenty-four month period by directors whose appointment or election is not approved by a majority of the members of the Board prior to the date of the appointment or election.</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the change of control and severance agreements above, “good reason” generally means the executive officer’s voluntary resignation from all positions such officer holds with us, effective within 90 days following the expiration of the cure period described below, after the occurrence of any of the following without the NEO’s written consent: (i) with respect to NEOs other than Mr. White, a reduction by us of the executive officer’s base salary or annual target bonus in effect immediately prior to such reduction (other than reductions in connection with similar percentage reductions imposed on all executive-level employees) and, with respect to Mr. White, a reduction by us of his base salary or annual target bonus by more than 10% individually or in the aggregate as in effect immediately prior to such reduction; (ii) a reduction (with respect to Mr. White, a material reduction) by us of the executive officer’s health or welfare benefits in effect immediately prior to such reduction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(with respect to NEOs other than Mr. White, other than reductions in connection with similar percentage reductions imposed on all executive-level employees); (iii) our requiring the executive officer to move his primary work location to a location that is more than 30 miles from his then-current principal work location (unless such relocation does not increase his commuting distance); (iv) our failure to continue in effect any material compensation or benefit plan or practice in which the executive officer is eligible to participate in immediately prior to the change of control, unless certain equitable arrangements embodied in an ongoing substitute or alternative plan have been made; (v) our failure to obtain the assumption, in all material respects, of the change of control agreement by any of our successors; or, for certain of the executive officers, (vi) a material diminution in such executive officer’s authority, duties, responsibilities, and, other than with respect to Messrs. Lee and Ju, title or reporting structure, provided that a change (for Messrs. Lee and Ju) or a material diminution (for Dr. Wang and Messrs. Kohn and White) in the executive officer’s title or reporting structure solely by virtue of the Company being acquired and made part of a larger entity will not by itself be sufficient to constitute good reason. In all cases, the executive officer must provide written notice to us of the existence of one of these conditions within 60 days after its initial existence, and we must be provided with a period of 30 days during which we may cure the circumstances giving rise to the condition, in which case no good reason will exist.</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w:t>
      </w:r>
    </w:p>
    <w:p>
      <w:pPr>
        <w:spacing w:after="0" w:line="119"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In the event of our change in control, as defined in our 2012 Equity Incentive Plan with respect to awards granted under that plan and as defined in our 2021 Equity Incentive Plan with respect to awards granted under that plan, the three-year relative total shareholder return (or TSR) goal under the PRSUs would be treated as follows. If TSR has not yet been measured, then our relative TSR performance will be measured in connection with the change in control by basing our TSR performance on the merger consideration payable with respect to Company shares in connection with the change in control, and the TSR measurement period would be shortened to reflect earlier measurement as a result of the change in control. Any shares that do not become eligible to vest based on the above treatment of the performance objectives would be forfeited at the change in control, and the shares underlying the PRSUs that have become eligible to vest will be scheduled to vest on the fifteenth day of each of June, September, December and March through the first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following the end of the TSR measurement period, with the first scheduled vesting date occurring on the first June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following the date of grant, in equal installments, subject to the executive’s continued service through the applicable vesting dates. Further, the portion of the PRSUs that have become eligible to vest that are outstanding as of the change in control will be treated in accordance with the terms of our 2012 Equity Incentive Plan or 2022 Equity Incentive Plan, as applicable, and any change of control and severance agreement then in effect.</w:t>
      </w:r>
    </w:p>
    <w:p>
      <w:pPr>
        <w:spacing w:after="0" w:line="203"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In the event of our change in control, the three-year cumulative annual revenue growth rate goal under the fiscal year 2024 PRSUs would be treated as follows. If the change in control occurs: (i) in any of the second, third or fourth fiscal quarters of a fiscal year, the revenue for the completed fiscal quarters in that fiscal year will be annualized and treated as the ending revenue for calculating the Company’s revenue CAGR, or (ii) in the first fiscal quarter of a fiscal year, the revenue for the immediately prior full fiscal year will be treated as the ending revenue for calculating the Company’s revenue CAGR. The period over which the Company’s revenue CAGR is measured will be such revenue growth from fiscal year 2024 to, as applicable,</w:t>
      </w:r>
    </w:p>
    <w:p>
      <w:pPr>
        <w:spacing w:after="0" w:line="3" w:lineRule="exact"/>
        <w:rPr>
          <w:sz w:val="20"/>
          <w:szCs w:val="20"/>
          <w:color w:val="auto"/>
        </w:rPr>
      </w:pPr>
    </w:p>
    <w:p>
      <w:pPr>
        <w:ind w:left="120" w:hanging="4"/>
        <w:spacing w:after="0" w:line="260" w:lineRule="auto"/>
        <w:tabs>
          <w:tab w:leader="none" w:pos="3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year in which such annualized revenue is calculated under (a)(i) above, or (y) the fiscal year for which the full fiscal year revenue is used in (a)(ii) above.</w:t>
      </w:r>
    </w:p>
    <w:p>
      <w:pPr>
        <w:spacing w:after="0" w:line="18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If before the scheduled vesting date of the applicable PRSUs and before a change in control, the NEO’s employment is terminated by us other than for cause (as defined in the change of control and severance agreement) (and other than due to the NEO’s death or disability, as defined in the change of control and severance agreement) or, if he resigns for good reason (as defined in the change of control and severance agreement), and he otherwise satisfies the other requirements under the change of control and severance agreement for the payment of other severance benefits to him, then a prorated number of shares underlying the award will accelerate vesting, with respect to the portion of the award eligible to vest. The prorated number of</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shares is the target number of restricted stock units as of the date of employment termination, or if the termination occurs after the TSR measurement date but before the scheduled vesting date, the prorated number of shares is based on the extent to which any performance goals have been met on or before the employment termination but during the performance period (and as adjusted by the relative TSR performance). The proration generally is determined by measuring the number of shares under the award that would have vested through the last day of the NEO’s employment with us, had the award been scheduled to vest in equal, quarterly installments through the final vesting date, with a first vesting date of the first June 15th following the date of grant.</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on or after a change in control, the NEO’s employment is terminated by us other than for cause (as defined in the change of control and severance agreement) (and other than due to the NEO’s death or disability, as defined in the change of control and severance agreement) or if he resigns for good reason (as defined in the change of control and severance agreement), the PRSU award will be eligible for the vesting acceleration under the NEO’s change of control and severance agreement then in effect (as described further above). Otherwise, the terms of the PRSU award agreement generally supersede the vesting acceleration benefits under the NEO’s change of control and severance agreement.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the PRSU awards above, “change in control,” as defined in our 2012 Equity Incentive Plan generally means the occurrence of any of the following events: (i) any person acquires ownership of more than 50% of the total voting power of our stock (except that acquisition of additional stock by a person already considered to own more than 50% of the voting power of our stock will not be considered a change in control); (ii) a change in our effective control that occurs when a majority of members of our Board is replaced during a 12-month period by directors whose appointment or election is not endorsed by a majority of members of the Board prior to the date of the appointment or election; or (iii) a change in ownership of a substantial portion of our assets that occurs when a person acquires 50% or more of the total gross fair market value of our assets over a twelve-month period (subject to certain exceptions, such as the transfer of our assets to our shareholders in exchange for or with respect to our stock).</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2012 Equity Incentive Plan and 2021 Equity Incentive Plan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2012 Equity Incentive Plan and our 2021 Equity Incentive Plan each provide that in the event of a merger or “change in control,” as defined under the applicable plan, each outstanding award will be 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 However, the award agreement governing the PRSUs modify this treatment with respect to such awards, as described above.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payments that would be made to our NEOs upon the occurrence of a termination of employment qualifying for severance benefits or upon a change of control, assuming that each NEO’s termination of employment with our Company occurred on January 31, 2024, or in the event that a qualifying termination of employment in connection with a change of control of our Company occurred on January 31, 2024, as applicable. Amounts shown do not include (i) accrued but unpaid salary through the date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termination, or (ii) other benefits earned or accrued by the NEO during his employment that are available to all salaried employees, such as accrued vacation.</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0" w:type="dxa"/>
            <w:vAlign w:val="bottom"/>
          </w:tcPr>
          <w:p>
            <w:pPr>
              <w:spacing w:after="0"/>
              <w:rPr>
                <w:sz w:val="1"/>
                <w:szCs w:val="1"/>
                <w:color w:val="auto"/>
              </w:rPr>
            </w:pPr>
          </w:p>
        </w:tc>
      </w:tr>
      <w:tr>
        <w:trPr>
          <w:trHeight w:val="148"/>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0" w:type="dxa"/>
            <w:vAlign w:val="bottom"/>
          </w:tcPr>
          <w:p>
            <w:pPr>
              <w:spacing w:after="0"/>
              <w:rPr>
                <w:sz w:val="1"/>
                <w:szCs w:val="1"/>
                <w:color w:val="auto"/>
              </w:rPr>
            </w:pPr>
          </w:p>
        </w:tc>
      </w:tr>
      <w:tr>
        <w:trPr>
          <w:trHeight w:val="148"/>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(Within three</w:t>
            </w:r>
          </w:p>
        </w:tc>
        <w:tc>
          <w:tcPr>
            <w:tcW w:w="0" w:type="dxa"/>
            <w:vAlign w:val="bottom"/>
          </w:tcPr>
          <w:p>
            <w:pPr>
              <w:spacing w:after="0"/>
              <w:rPr>
                <w:sz w:val="1"/>
                <w:szCs w:val="1"/>
                <w:color w:val="auto"/>
              </w:rPr>
            </w:pPr>
          </w:p>
        </w:tc>
      </w:tr>
      <w:tr>
        <w:trPr>
          <w:trHeight w:val="148"/>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months before or</w:t>
            </w:r>
          </w:p>
        </w:tc>
        <w:tc>
          <w:tcPr>
            <w:tcW w:w="0" w:type="dxa"/>
            <w:vAlign w:val="bottom"/>
          </w:tcPr>
          <w:p>
            <w:pPr>
              <w:spacing w:after="0"/>
              <w:rPr>
                <w:sz w:val="1"/>
                <w:szCs w:val="1"/>
                <w:color w:val="auto"/>
              </w:rPr>
            </w:pPr>
          </w:p>
        </w:tc>
      </w:tr>
      <w:tr>
        <w:trPr>
          <w:trHeight w:val="148"/>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1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twelve months</w:t>
            </w:r>
          </w:p>
        </w:tc>
        <w:tc>
          <w:tcPr>
            <w:tcW w:w="0" w:type="dxa"/>
            <w:vAlign w:val="bottom"/>
          </w:tcPr>
          <w:p>
            <w:pPr>
              <w:spacing w:after="0"/>
              <w:rPr>
                <w:sz w:val="1"/>
                <w:szCs w:val="1"/>
                <w:color w:val="auto"/>
              </w:rPr>
            </w:pPr>
          </w:p>
        </w:tc>
      </w:tr>
      <w:tr>
        <w:trPr>
          <w:trHeight w:val="149"/>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(No change of</w:t>
            </w:r>
          </w:p>
        </w:tc>
        <w:tc>
          <w:tcPr>
            <w:tcW w:w="11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after change of</w:t>
            </w:r>
          </w:p>
        </w:tc>
        <w:tc>
          <w:tcPr>
            <w:tcW w:w="0" w:type="dxa"/>
            <w:vAlign w:val="bottom"/>
          </w:tcPr>
          <w:p>
            <w:pPr>
              <w:spacing w:after="0"/>
              <w:rPr>
                <w:sz w:val="1"/>
                <w:szCs w:val="1"/>
                <w:color w:val="auto"/>
              </w:rPr>
            </w:pPr>
          </w:p>
        </w:tc>
      </w:tr>
      <w:tr>
        <w:trPr>
          <w:trHeight w:val="173"/>
        </w:trPr>
        <w:tc>
          <w:tcPr>
            <w:tcW w:w="8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control) ($)</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control) ($)</w:t>
            </w:r>
          </w:p>
        </w:tc>
        <w:tc>
          <w:tcPr>
            <w:tcW w:w="0" w:type="dxa"/>
            <w:vAlign w:val="bottom"/>
          </w:tcPr>
          <w:p>
            <w:pPr>
              <w:spacing w:after="0"/>
              <w:rPr>
                <w:sz w:val="1"/>
                <w:szCs w:val="1"/>
                <w:color w:val="auto"/>
              </w:rPr>
            </w:pPr>
          </w:p>
        </w:tc>
      </w:tr>
      <w:tr>
        <w:trPr>
          <w:trHeight w:val="196"/>
        </w:trPr>
        <w:tc>
          <w:tcPr>
            <w:tcW w:w="8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Fermi Wang</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Salary</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561,000</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561,000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Bonus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561,000</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Acceleration of RSUs and PRSUs(1)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2,294,927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5,543,451</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Continued Health Benefits(2)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38,102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38,102</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3,455,029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Kohn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Salary</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375,524</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375,524</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Bonus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281,250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281,250</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Acceleration of RSUs and PRSUs(1)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1,253,171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1,986,085</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Continued Health Benefits(2)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26,631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26,631</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1,936,576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White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Salary</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360,000</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360,000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Bonus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270,000</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Acceleration of RSUs and PRSUs(1)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1,530,477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3,623,329</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Continued Health Benefits(2)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40,150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40,150</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2,200,627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 Lee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Salary</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170,161</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340,332</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Bonus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255,000</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Acceleration of RSUs and PRSUs(1)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581,848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1,361,067</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Continued Health Benefits(2)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19,835</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1,016,927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Salary</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155,520</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311,041</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Bonus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202,000</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Acceleration of RSUs and PRSUs(1)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411,448</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961,375</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Continued Health Benefits(2)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13,316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26,631</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782,284</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100" w:hanging="424"/>
        <w:spacing w:after="0" w:line="276" w:lineRule="auto"/>
        <w:tabs>
          <w:tab w:leader="none" w:pos="5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accelerated RSUs and PRSUs was calculated by multiplying (x) the number of shares subject to acceleration by (y) the fair market value of an ordinary share on the Nasdaq Global Select Market on January 31, 2024, which was $52.56. The value of accelerated PRSUs assumes</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payout at a level of 100% of target.</w:t>
      </w:r>
    </w:p>
    <w:p>
      <w:pPr>
        <w:spacing w:after="0" w:line="9" w:lineRule="exact"/>
        <w:rPr>
          <w:sz w:val="20"/>
          <w:szCs w:val="20"/>
          <w:color w:val="auto"/>
        </w:rPr>
      </w:pPr>
    </w:p>
    <w:p>
      <w:pPr>
        <w:ind w:left="540" w:right="220" w:hanging="424"/>
        <w:spacing w:after="0" w:line="290" w:lineRule="auto"/>
        <w:tabs>
          <w:tab w:leader="none" w:pos="5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premium payments that would be required to be paid to or on behalf of the NEO to provide continued health insurance coverage under COBRA (based on the executive’s health insurance coverage as of January 31, 2024) for the period available to the executive.</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Section 953(b) of the Dodd-Frank Wall Street Reform and Consumer Protection Act and Item 402(u) of Regulation S-K, we are required to disclose the ratio of our principal executive officer’s annual total compensation to the annual total compensation of our median employee. As discussed above in the “Compensation Discussion and Analysis,” we are engaged in a very competitive industry, and our success depends on our ability to attract, motivate and retain highly qualified, talented and creative employees. Consistent with our executive compensation program, our global compensation program is designed to be competitive in terms of both the position and the geographic location in which an employee is located. Accordingly, our pay structures vary among our employees based on position and geographic location, with significant consideration given to local competitive market practices. We believe our compensation philosophy and process yield an equitable result for all of our employees.</w:t>
      </w:r>
    </w:p>
    <w:p>
      <w:pPr>
        <w:spacing w:after="0" w:line="18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of January 31, 2024, the end of our fiscal year 2024, we had a total of 915 employees, of which approximately 28% were located in the U.S., primarily in Santa Clara, California, and 72% were located outside of the U.S., primarily in China and Taiwan. Approximately 75% of our employees are engaged in research and development, 2% in operations, and 23% in sales, marketing and administration.</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Pay Ratio</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fiscal year 2024, the principal executive officer of Ambarella was our CEO, Dr. Feng-Ming (Fermi) Wang. For fiscal year 2024, the annual total compensation for Dr. Wang was $5,808,060, as disclosed under the Summary Compensation Table above, and the annual total compensation for our median employee was $102,001, calculated using the same methodology as applied for Dr. Wang in the Summary Compensation Table above, resulting in an estimated pay ratio of 57:1.</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Identification of Median Employee</w:t>
      </w:r>
    </w:p>
    <w:p>
      <w:pPr>
        <w:spacing w:after="0" w:line="119"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We selected January 31, 2024, the last day of our fiscal year 2024, as the date on which to determine our median employee. For purposes of identifying the median employee for fiscal year 2024, we considered the aggregate of all the following compensation elements for each of our employees (other than Dr. Wang), as compiled from our internal records as of January 31, 2024:</w:t>
      </w:r>
    </w:p>
    <w:p>
      <w:pPr>
        <w:spacing w:after="0" w:line="8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the annual base salary or wages for fiscal year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or other cash incentives paid in fiscal year 2024;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granted in fiscal year 2024.</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selected the above compensation elements because they represent Ambarella’s principal broad-based compensation elements. For purposes of identifying the median employee, any compensation paid in foreign currencies was converted to U.S. dollars based on the average of the monthly exchange rates for the twelve-month period ended January 31, 2024. In identifying the median employee, we did not make any cost-of-living adjustments or exclude any foreign jurisdictions in accordance with Item 402(u) of Regulation S-K.</w:t>
      </w:r>
    </w:p>
    <w:p>
      <w:pPr>
        <w:spacing w:after="0" w:line="180" w:lineRule="exact"/>
        <w:rPr>
          <w:sz w:val="20"/>
          <w:szCs w:val="20"/>
          <w:color w:val="auto"/>
        </w:rPr>
      </w:pPr>
    </w:p>
    <w:p>
      <w:pPr>
        <w:ind w:left="120" w:right="280" w:firstLine="440"/>
        <w:spacing w:after="0" w:line="281" w:lineRule="auto"/>
        <w:rPr>
          <w:sz w:val="20"/>
          <w:szCs w:val="20"/>
          <w:color w:val="auto"/>
        </w:rPr>
      </w:pPr>
      <w:r>
        <w:rPr>
          <w:rFonts w:ascii="Times New Roman" w:cs="Times New Roman" w:eastAsia="Times New Roman" w:hAnsi="Times New Roman"/>
          <w:sz w:val="17"/>
          <w:szCs w:val="17"/>
          <w:color w:val="auto"/>
        </w:rPr>
        <w:t>The pay ratio reported above is a reasonable estimate calculated in a manner consistent with SEC rules based on our internal records and the methodology described above. Because the SEC rules for identifying the median employee and calculating the pay ratio based on that employee’s annual total compensation allow companies to utilize different methodologies and to make reasonable estimates and assumptions that reflect their employee populations and compensation practices, the pay ratio reported by other companies may not be comparable to the pay ratio reported above.</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providing the following information about the relationship between “compensation actually paid” to our named executive officers and company financial performance, as required by or defined in Section 953(a) of the Dodd-Frank Act and Item 402(v) of Regulation S-K. For further information regarding our compensation philosophy, and in particular, how we align executive compensation with company financial performance, refer to “Executive Compensation – Compensation Discussion and Analysis,” above.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$100 Investment Based</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On:</w:t>
            </w: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00" w:type="dxa"/>
            <w:vAlign w:val="bottom"/>
            <w:gridSpan w:val="2"/>
            <w:vMerge w:val="continue"/>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6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gridSpan w:val="2"/>
            <w:vMerge w:val="continue"/>
          </w:tcPr>
          <w:p>
            <w:pPr>
              <w:spacing w:after="0"/>
              <w:rPr>
                <w:sz w:val="12"/>
                <w:szCs w:val="12"/>
                <w:color w:val="auto"/>
              </w:rPr>
            </w:pPr>
          </w:p>
        </w:tc>
        <w:tc>
          <w:tcPr>
            <w:tcW w:w="78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2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 –</w:t>
            </w:r>
          </w:p>
        </w:tc>
        <w:tc>
          <w:tcPr>
            <w:tcW w:w="26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for PEO</w:t>
            </w: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to PEO</w:t>
            </w:r>
          </w:p>
        </w:tc>
        <w:tc>
          <w:tcPr>
            <w:tcW w:w="11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NEOs</w:t>
            </w:r>
          </w:p>
        </w:tc>
        <w:tc>
          <w:tcPr>
            <w:tcW w:w="12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NEOs</w:t>
            </w: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AMBA</w:t>
            </w: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Return</w:t>
            </w:r>
          </w:p>
        </w:tc>
        <w:tc>
          <w:tcPr>
            <w:tcW w:w="10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 Millions)</w:t>
            </w:r>
          </w:p>
        </w:tc>
        <w:tc>
          <w:tcPr>
            <w:tcW w:w="7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162"/>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0" w:type="dxa"/>
            <w:vAlign w:val="bottom"/>
            <w:gridSpan w:val="2"/>
          </w:tcPr>
          <w:p>
            <w:pPr>
              <w:jc w:val="center"/>
              <w:ind w:left="2015"/>
              <w:spacing w:after="0"/>
              <w:rPr>
                <w:sz w:val="20"/>
                <w:szCs w:val="20"/>
                <w:color w:val="auto"/>
              </w:rPr>
            </w:pPr>
            <w:r>
              <w:rPr>
                <w:rFonts w:ascii="Times New Roman" w:cs="Times New Roman" w:eastAsia="Times New Roman" w:hAnsi="Times New Roman"/>
                <w:sz w:val="14"/>
                <w:szCs w:val="14"/>
                <w:b w:val="1"/>
                <w:bCs w:val="1"/>
                <w:color w:val="auto"/>
              </w:rPr>
              <w:t>($)(1)</w:t>
            </w: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3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c>
          <w:tcPr>
            <w:tcW w:w="1020" w:type="dxa"/>
            <w:vAlign w:val="bottom"/>
            <w:gridSpan w:val="2"/>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($)(6)</w:t>
            </w:r>
          </w:p>
        </w:tc>
        <w:tc>
          <w:tcPr>
            <w:tcW w:w="2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(7)</w:t>
            </w:r>
          </w:p>
        </w:tc>
        <w:tc>
          <w:tcPr>
            <w:tcW w:w="300" w:type="dxa"/>
            <w:vAlign w:val="bottom"/>
          </w:tcPr>
          <w:p>
            <w:pPr>
              <w:spacing w:after="0"/>
              <w:rPr>
                <w:sz w:val="14"/>
                <w:szCs w:val="14"/>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20"/>
        </w:trPr>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2024</w:t>
            </w:r>
          </w:p>
        </w:tc>
        <w:tc>
          <w:tcPr>
            <w:tcW w:w="21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vMerge w:val="continue"/>
            <w:shd w:val="clear" w:color="auto" w:fill="CCEEFF"/>
          </w:tcPr>
          <w:p>
            <w:pPr>
              <w:spacing w:after="0"/>
              <w:rPr>
                <w:sz w:val="17"/>
                <w:szCs w:val="17"/>
                <w:color w:val="auto"/>
              </w:rPr>
            </w:pPr>
          </w:p>
        </w:tc>
        <w:tc>
          <w:tcPr>
            <w:tcW w:w="210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5,808,060</w:t>
            </w:r>
          </w:p>
        </w:tc>
        <w:tc>
          <w:tcPr>
            <w:tcW w:w="26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(778,845)</w:t>
            </w:r>
          </w:p>
        </w:tc>
        <w:tc>
          <w:tcPr>
            <w:tcW w:w="32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2,781,316</w:t>
            </w:r>
          </w:p>
        </w:tc>
        <w:tc>
          <w:tcPr>
            <w:tcW w:w="26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(358,579)</w:t>
            </w:r>
          </w:p>
        </w:tc>
        <w:tc>
          <w:tcPr>
            <w:tcW w:w="30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88.87</w:t>
            </w:r>
          </w:p>
        </w:tc>
        <w:tc>
          <w:tcPr>
            <w:tcW w:w="26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238.05</w:t>
            </w:r>
          </w:p>
        </w:tc>
        <w:tc>
          <w:tcPr>
            <w:tcW w:w="26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(169.4)</w:t>
            </w:r>
          </w:p>
        </w:tc>
        <w:tc>
          <w:tcPr>
            <w:tcW w:w="78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2023</w:t>
            </w:r>
          </w:p>
        </w:tc>
        <w:tc>
          <w:tcPr>
            <w:tcW w:w="3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5,904,850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(5,223,250)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3,702,220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(483,113)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180.82</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2022</w:t>
            </w:r>
          </w:p>
        </w:tc>
        <w:tc>
          <w:tcPr>
            <w:tcW w:w="3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6,205,867</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21,197,673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2,592,611</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9,835,394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236.98</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209.94</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2021</w:t>
            </w:r>
          </w:p>
        </w:tc>
        <w:tc>
          <w:tcPr>
            <w:tcW w:w="3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5,596,549</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14,765,032</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2,212,215</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5,755,522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170.15</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left="540" w:right="60" w:hanging="424"/>
        <w:spacing w:after="0" w:line="257"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are the amounts of total compensation reported for the Company’s principal executive officer, or PEO, Dr. Feng-Ming (Fermi) Wang, for each corresponding fiscal year in the “Total” column of the Summary Compensation Table. Refer to “Executive Compensation – Summary Compensation Table for Fiscal Year 2024,” above.</w:t>
      </w:r>
    </w:p>
    <w:p>
      <w:pPr>
        <w:spacing w:after="0" w:line="1" w:lineRule="exact"/>
        <w:rPr>
          <w:rFonts w:ascii="Times New Roman" w:cs="Times New Roman" w:eastAsia="Times New Roman" w:hAnsi="Times New Roman"/>
          <w:sz w:val="18"/>
          <w:szCs w:val="18"/>
          <w:color w:val="auto"/>
        </w:rPr>
      </w:pPr>
    </w:p>
    <w:p>
      <w:pPr>
        <w:ind w:left="540" w:right="140" w:hanging="424"/>
        <w:spacing w:after="0" w:line="255"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does not mean that our PEO was actually paid those amounts in the listed fiscal year, but this is a dollar amount derived from the starting point of the compensation reported in the “Total” column of the Summary Compensation Table, under the methodology prescribed under the SEC’s rules, as shown in the reconciliation table below.</w:t>
      </w:r>
    </w:p>
    <w:p>
      <w:pPr>
        <w:spacing w:after="0" w:line="77" w:lineRule="exact"/>
        <w:rPr>
          <w:rFonts w:ascii="Times New Roman" w:cs="Times New Roman" w:eastAsia="Times New Roman" w:hAnsi="Times New Roman"/>
          <w:sz w:val="18"/>
          <w:szCs w:val="18"/>
          <w:color w:val="auto"/>
        </w:rPr>
      </w:pPr>
    </w:p>
    <w:p>
      <w:pPr>
        <w:ind w:left="56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a reconciliation of total compensation paid to the PEO for each year as reported in the Summary Compensation Table, above, to the compensation actually paid to the PEO, which was computed in accordance with Item 402(v) of Regulation S-K, as reported in the Pay Versus Performance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-1324610</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Exclusion</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Inclusion of</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Equals</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53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 for</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5320" w:type="dxa"/>
            <w:vAlign w:val="bottom"/>
          </w:tcPr>
          <w:p>
            <w:pPr>
              <w:spacing w:after="0"/>
              <w:rPr>
                <w:sz w:val="15"/>
                <w:szCs w:val="15"/>
                <w:color w:val="auto"/>
              </w:rPr>
            </w:pPr>
          </w:p>
        </w:tc>
        <w:tc>
          <w:tcPr>
            <w:tcW w:w="12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for PEO ($)</w:t>
            </w:r>
          </w:p>
        </w:tc>
        <w:tc>
          <w:tcPr>
            <w:tcW w:w="11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11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11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to PEO ($)</w:t>
            </w:r>
          </w:p>
        </w:tc>
        <w:tc>
          <w:tcPr>
            <w:tcW w:w="0" w:type="dxa"/>
            <w:vAlign w:val="bottom"/>
          </w:tcPr>
          <w:p>
            <w:pPr>
              <w:spacing w:after="0"/>
              <w:rPr>
                <w:sz w:val="1"/>
                <w:szCs w:val="1"/>
                <w:color w:val="auto"/>
              </w:rPr>
            </w:pPr>
          </w:p>
        </w:tc>
      </w:tr>
      <w:tr>
        <w:trPr>
          <w:trHeight w:val="190"/>
        </w:trPr>
        <w:tc>
          <w:tcPr>
            <w:tcW w:w="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53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5,808,060</w:t>
            </w: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1"/>
              </w:rPr>
              <w:t>(5,050,710)</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(1,536,195)</w:t>
            </w:r>
          </w:p>
        </w:tc>
        <w:tc>
          <w:tcPr>
            <w:tcW w:w="3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(778,845)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6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5,904,850</w:t>
            </w:r>
          </w:p>
        </w:tc>
        <w:tc>
          <w:tcPr>
            <w:tcW w:w="26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(5,343,850)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(5,784,250)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(5,223,250)</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6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6,205,867</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(4,905,867)</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19,897,673</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21,197,673</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6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5,596,549</w:t>
            </w:r>
          </w:p>
        </w:tc>
        <w:tc>
          <w:tcPr>
            <w:tcW w:w="2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(4,717,849)</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13,886,332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14,765,032</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amounts in the Inclusion of Equity Values for PEO column in the table above are derived from the amounts set forth in the following table:</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 Fair</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 as</w:t>
            </w: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Last Day</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4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Total-</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 at</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from Prior</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380" w:type="dxa"/>
            <w:vAlign w:val="bottom"/>
          </w:tcPr>
          <w:p>
            <w:pPr>
              <w:spacing w:after="0"/>
              <w:rPr>
                <w:sz w:val="12"/>
                <w:szCs w:val="12"/>
                <w:color w:val="auto"/>
              </w:rPr>
            </w:pPr>
          </w:p>
        </w:tc>
        <w:tc>
          <w:tcPr>
            <w:tcW w:w="9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FYE for</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for</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Year for</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4380" w:type="dxa"/>
            <w:vAlign w:val="bottom"/>
          </w:tcPr>
          <w:p>
            <w:pPr>
              <w:spacing w:after="0"/>
              <w:rPr>
                <w:sz w:val="15"/>
                <w:szCs w:val="15"/>
                <w:color w:val="auto"/>
              </w:rPr>
            </w:pPr>
          </w:p>
        </w:tc>
        <w:tc>
          <w:tcPr>
            <w:tcW w:w="90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10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10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7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7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10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0" w:type="dxa"/>
            <w:vAlign w:val="bottom"/>
          </w:tcPr>
          <w:p>
            <w:pPr>
              <w:spacing w:after="0"/>
              <w:rPr>
                <w:sz w:val="1"/>
                <w:szCs w:val="1"/>
                <w:color w:val="auto"/>
              </w:rPr>
            </w:pPr>
          </w:p>
        </w:tc>
      </w:tr>
      <w:tr>
        <w:trPr>
          <w:trHeight w:val="189"/>
        </w:trPr>
        <w:tc>
          <w:tcPr>
            <w:tcW w:w="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43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6"/>
              </w:rPr>
              <w:t>2,486,054</w:t>
            </w: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(326,581)</w:t>
            </w: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(4,172,877)</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6"/>
              </w:rPr>
              <w:t>477,210</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(1,536,195)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52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4,221,283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(1,451,046)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(9,054,092)</w:t>
            </w: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6"/>
              </w:rPr>
              <w:t>499,604</w:t>
            </w:r>
          </w:p>
        </w:tc>
        <w:tc>
          <w:tcPr>
            <w:tcW w:w="14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(5,784,250)</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52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5,627,028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1,909,656</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11,606,228</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6"/>
              </w:rPr>
              <w:t>754,761</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19,897,673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52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8,472,740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41,072</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4,664,085</w:t>
            </w: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6"/>
              </w:rPr>
              <w:t>708,435</w:t>
            </w:r>
          </w:p>
        </w:tc>
        <w:tc>
          <w:tcPr>
            <w:tcW w:w="14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13,886,332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40" w:right="80" w:hanging="424"/>
        <w:spacing w:after="0" w:line="253"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average of the amounts reported for the Company’s NEOs other than the Company’s PEO (the “Non-PEO NEOs”), for each corresponding fiscal year in the “Total” column of the Summary Compensation Table. Refer to “Executive Compensation – Summary Compensation Table for Fiscal Year 2024” above and the Summary Compensation Tables for fiscal years 2023 - 2021 contained in the Company’s previously filed proxy statements. The non-PEO NEOs included for purposes of calculating the average amounts in each applicable year are as follows: (i) for fiscal year 2024, Les Kohn, Brian White, Chan Lee, and John Ju; (ii) for fiscal year 2023, Les Kohn, Brian White, Chan Lee, John Ju, and John Young; (iii) for fiscal year 2022, Les Kohn, Casey Eichler, Chan Lee, John Ju, and John Young; and (iv) for fiscal year 2021, Les Kohn, Casey Eichler, Michael Chen, and Christopher Day.</w:t>
      </w:r>
    </w:p>
    <w:p>
      <w:pPr>
        <w:spacing w:after="0" w:line="2" w:lineRule="exact"/>
        <w:rPr>
          <w:rFonts w:ascii="Times New Roman" w:cs="Times New Roman" w:eastAsia="Times New Roman" w:hAnsi="Times New Roman"/>
          <w:sz w:val="18"/>
          <w:szCs w:val="18"/>
          <w:color w:val="auto"/>
        </w:rPr>
      </w:pPr>
    </w:p>
    <w:p>
      <w:pPr>
        <w:ind w:left="540" w:right="160" w:hanging="424"/>
        <w:spacing w:after="0" w:line="253"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is the average of compensation actually paid for the Non-PEO NEOs in each listed fiscal year. Compensation actually paid does not mean that these Non-PEO NEOs were actually paid those amounts in the listed year, but this is a dollar amount derived from the starting point of Summary Compensation Table total compensation under the methodology prescribed under the SEC’s rules, as shown in the reconciliation table below.</w:t>
      </w:r>
    </w:p>
    <w:p>
      <w:pPr>
        <w:spacing w:after="0" w:line="80" w:lineRule="exact"/>
        <w:rPr>
          <w:rFonts w:ascii="Times New Roman" w:cs="Times New Roman" w:eastAsia="Times New Roman" w:hAnsi="Times New Roman"/>
          <w:sz w:val="18"/>
          <w:szCs w:val="18"/>
          <w:color w:val="auto"/>
        </w:rPr>
      </w:pPr>
    </w:p>
    <w:p>
      <w:pPr>
        <w:ind w:left="560" w:right="2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a reconciliation of average compensation paid to Non-PEO NEOs for each year as reported in the Summary Compensation Table above and in the Company’s previously filed proxy statements to the average compensation actually paid to the Non-PEO NEOs, which was computed in accordance with Item 402(v) of Regulation S-K, as reported in the Pay Versus Performance table, above.</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Equals</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Exclusion</w:t>
            </w: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Inclusion</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55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0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5540" w:type="dxa"/>
            <w:vAlign w:val="bottom"/>
          </w:tcPr>
          <w:p>
            <w:pPr>
              <w:spacing w:after="0"/>
              <w:rPr>
                <w:sz w:val="15"/>
                <w:szCs w:val="15"/>
                <w:color w:val="auto"/>
              </w:rPr>
            </w:pPr>
          </w:p>
        </w:tc>
        <w:tc>
          <w:tcPr>
            <w:tcW w:w="11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10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10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0" w:type="dxa"/>
            <w:vAlign w:val="bottom"/>
          </w:tcPr>
          <w:p>
            <w:pPr>
              <w:spacing w:after="0"/>
              <w:rPr>
                <w:sz w:val="1"/>
                <w:szCs w:val="1"/>
                <w:color w:val="auto"/>
              </w:rPr>
            </w:pPr>
          </w:p>
        </w:tc>
      </w:tr>
      <w:tr>
        <w:trPr>
          <w:trHeight w:val="190"/>
        </w:trPr>
        <w:tc>
          <w:tcPr>
            <w:tcW w:w="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55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2,781,316</w:t>
            </w: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1"/>
              </w:rPr>
              <w:t>(2,359,584)</w:t>
            </w:r>
          </w:p>
        </w:tc>
        <w:tc>
          <w:tcPr>
            <w:tcW w:w="3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(780,347)</w:t>
            </w:r>
          </w:p>
        </w:tc>
        <w:tc>
          <w:tcPr>
            <w:tcW w:w="3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(358,579)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3,702,220</w:t>
            </w:r>
          </w:p>
        </w:tc>
        <w:tc>
          <w:tcPr>
            <w:tcW w:w="24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(3,324,397)</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(860,936)</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(483,113)</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6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2,592,611</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(1,956,274)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9,199,057</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9,835,394</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2,212,215</w:t>
            </w:r>
          </w:p>
        </w:tc>
        <w:tc>
          <w:tcPr>
            <w:tcW w:w="24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(1,743,625)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5,286,932</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5,755,522</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right="580"/>
        <w:spacing w:after="0" w:line="282" w:lineRule="auto"/>
        <w:rPr>
          <w:sz w:val="20"/>
          <w:szCs w:val="20"/>
          <w:color w:val="auto"/>
        </w:rPr>
      </w:pPr>
      <w:r>
        <w:rPr>
          <w:rFonts w:ascii="Times New Roman" w:cs="Times New Roman" w:eastAsia="Times New Roman" w:hAnsi="Times New Roman"/>
          <w:sz w:val="18"/>
          <w:szCs w:val="18"/>
          <w:color w:val="auto"/>
        </w:rPr>
        <w:t>The amounts in the Inclusion of Equity Values for Non-PEO NEOs column in the table above are derived from the amounts set forth in the following table: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as</w:t>
            </w:r>
          </w:p>
        </w:tc>
        <w:tc>
          <w:tcPr>
            <w:tcW w:w="9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Last Day</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112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Total-</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Vested in</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Inclusion</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 at</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from Prior</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FYE for</w:t>
            </w: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Years for</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0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Non-PEO</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4060" w:type="dxa"/>
            <w:vAlign w:val="bottom"/>
          </w:tcPr>
          <w:p>
            <w:pPr>
              <w:spacing w:after="0"/>
              <w:rPr>
                <w:sz w:val="15"/>
                <w:szCs w:val="15"/>
                <w:color w:val="auto"/>
              </w:rPr>
            </w:pPr>
          </w:p>
        </w:tc>
        <w:tc>
          <w:tcPr>
            <w:tcW w:w="9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10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11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9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NEOs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NEOs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0" w:type="dxa"/>
            <w:vAlign w:val="bottom"/>
          </w:tcPr>
          <w:p>
            <w:pPr>
              <w:spacing w:after="0"/>
              <w:rPr>
                <w:sz w:val="1"/>
                <w:szCs w:val="1"/>
                <w:color w:val="auto"/>
              </w:rPr>
            </w:pPr>
          </w:p>
        </w:tc>
      </w:tr>
      <w:tr>
        <w:trPr>
          <w:trHeight w:val="190"/>
        </w:trPr>
        <w:tc>
          <w:tcPr>
            <w:tcW w:w="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40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1,161,428</w:t>
            </w: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(261,971)</w:t>
            </w:r>
          </w:p>
        </w:tc>
        <w:tc>
          <w:tcPr>
            <w:tcW w:w="3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(1,883,274)</w:t>
            </w:r>
          </w:p>
        </w:tc>
        <w:tc>
          <w:tcPr>
            <w:tcW w:w="3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203,470</w:t>
            </w: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(780,347)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2,779,010</w:t>
            </w: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(615,781)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(3,238,882)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214,717</w:t>
            </w:r>
          </w:p>
        </w:tc>
        <w:tc>
          <w:tcPr>
            <w:tcW w:w="240" w:type="dxa"/>
            <w:vAlign w:val="bottom"/>
          </w:tcPr>
          <w:p>
            <w:pPr>
              <w:spacing w:after="0"/>
              <w:rPr>
                <w:sz w:val="17"/>
                <w:szCs w:val="17"/>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(860,936)</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4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2,243,894</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1,303,642</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5,350,587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300,933</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9,199,057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3,131,381</w:t>
            </w:r>
          </w:p>
        </w:tc>
        <w:tc>
          <w:tcPr>
            <w:tcW w:w="2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26,321</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1,867,424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261,806</w:t>
            </w:r>
          </w:p>
        </w:tc>
        <w:tc>
          <w:tcPr>
            <w:tcW w:w="24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5,286,932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40" w:right="60" w:hanging="424"/>
        <w:spacing w:after="0" w:line="261"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is calculated by assuming that a $100 investment was made on the last trading day prior to the earliest fiscal year reported in this table and reinvesting all dividends until the last day of each reported fiscal year.</w:t>
      </w:r>
    </w:p>
    <w:p>
      <w:pPr>
        <w:ind w:left="540" w:right="280" w:hanging="424"/>
        <w:spacing w:after="0" w:line="250"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used is the PHLX Semiconductor Sector Index (SOX), as used in the performance graph included in our annual report. Total shareholder return is calculated by assuming that a $100 investment was made on the last trading day prior to the earliest fiscal year reported in this table and reinvesting all dividends until the last day of each reported fiscal year.</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Company’s net income reflected in the Company’s audited financial statements.</w:t>
      </w:r>
    </w:p>
    <w:p>
      <w:pPr>
        <w:spacing w:after="0" w:line="9" w:lineRule="exact"/>
        <w:rPr>
          <w:rFonts w:ascii="Times New Roman" w:cs="Times New Roman" w:eastAsia="Times New Roman" w:hAnsi="Times New Roman"/>
          <w:sz w:val="18"/>
          <w:szCs w:val="18"/>
          <w:color w:val="auto"/>
        </w:rPr>
      </w:pPr>
    </w:p>
    <w:p>
      <w:pPr>
        <w:ind w:left="540" w:right="180" w:hanging="424"/>
        <w:spacing w:after="0" w:line="25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metric in this column, the Company’s revenue as reflected in the Company’s audited financial statements, in our assessment, represents the most important Company financial performance measure (that is not otherwise disclosed in this table) used to link compensation actually paid to company performance for the NEOs for all years presented. In particular, 1/3 of the annual bonus program for NEOs is based on the revenue metric. Other key financial performance measures linked to executive compensation are described under “Financial Performance Measures,” below. For additional information regarding actual performance, peer group, and executive compensation for the most recently completed fiscal year, see “Executive Compensation – Compensation Discussion and Analysis,” above.</w:t>
      </w:r>
    </w:p>
    <w:p>
      <w:pPr>
        <w:spacing w:after="0" w:line="29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Analysis of Information Presented in the Pay Versus Performance Table</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below, the relationships between certain information presented in the Pay Versus Performance table, above. We utilize several financial performance measures to align executive compensation with Company financial performance as described in “Executive Compensation – Compensation Discussion and Analysis,” however, not all of those measures are presented in the Pay Versus Performance table, above, nor in the below graphs. We generally seek to incentivize long-term performance using various performance measures, which may not result in alignment of individual performance measures with compensation actually paid (as computed in accordance with Item 402(v) of Regulation S-K, which incorporates various elements including, but not limited to, changes in value based on the Company’s stock price to the vesting date or during the year) for a particular year.</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Total Shareholder Return (“TSR”)</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(or CAP) to our PEO, the average of compensation actually paid to our Non-PEO NEOs, and the Company’s cumulative TSR as well as the PHLX Semiconductor Sector Index cumulative TSR for the fiscal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140335</wp:posOffset>
            </wp:positionV>
            <wp:extent cx="3883025" cy="22802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830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Income (Loss)</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(loss)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131445</wp:posOffset>
            </wp:positionV>
            <wp:extent cx="4208780" cy="22631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0878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40"/>
          </w:cols>
          <w:pgMar w:left="320" w:top="482" w:right="5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Revenue</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revenue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131445</wp:posOffset>
            </wp:positionV>
            <wp:extent cx="4054475" cy="21602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5447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Financial Performance Measures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in further detail in “Executive Compensation – Compensation Discussion and Analysis” above, our executive compensation program incorporates various Company financial performance metrics. Such metrics are used in both our long-term and short-term incentive awards and are selected with the objective of incentivizing our PEO and Non-PEO NEOs to increase the long-term value of our company for shareholders. The three most important financial performance measures used in fiscal year 2023 to link executive compensation actually paid to our PEO and Non-PEO NEOs, for the most recently completed fiscal year, to our financial performance are as follows (listed in no particular order of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145415</wp:posOffset>
            </wp:positionV>
            <wp:extent cx="3042920" cy="831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42920" cy="831850"/>
                    </a:xfrm>
                    <a:prstGeom prst="rect">
                      <a:avLst/>
                    </a:prstGeom>
                    <a:noFill/>
                  </pic:spPr>
                </pic:pic>
              </a:graphicData>
            </a:graphic>
          </wp:anchor>
        </w:drawing>
      </w:r>
    </w:p>
    <w:p>
      <w:pPr>
        <w:spacing w:after="0" w:line="294" w:lineRule="exact"/>
        <w:rPr>
          <w:sz w:val="20"/>
          <w:szCs w:val="20"/>
          <w:color w:val="auto"/>
        </w:rPr>
      </w:pPr>
    </w:p>
    <w:p>
      <w:pPr>
        <w:ind w:left="1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 xml:space="preserve">          </w:t>
      </w:r>
      <w:r>
        <w:rPr>
          <w:sz w:val="20"/>
          <w:szCs w:val="20"/>
          <w:color w:val="auto"/>
        </w:rPr>
        <w:tab/>
      </w:r>
      <w:r>
        <w:rPr>
          <w:rFonts w:ascii="Times New Roman" w:cs="Times New Roman" w:eastAsia="Times New Roman" w:hAnsi="Times New Roman"/>
          <w:sz w:val="17"/>
          <w:szCs w:val="17"/>
          <w:b w:val="1"/>
          <w:bCs w:val="1"/>
          <w:color w:val="auto"/>
        </w:rPr>
        <w:t>Most Important Financial Performance Measures</w:t>
      </w:r>
    </w:p>
    <w:p>
      <w:pPr>
        <w:spacing w:after="0" w:line="1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Revenue</w:t>
      </w:r>
    </w:p>
    <w:p>
      <w:pPr>
        <w:spacing w:after="0" w:line="1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Non-GAAP operating profit</w:t>
      </w:r>
      <w:r>
        <w:rPr>
          <w:rFonts w:ascii="Times New Roman" w:cs="Times New Roman" w:eastAsia="Times New Roman" w:hAnsi="Times New Roman"/>
          <w:sz w:val="22"/>
          <w:szCs w:val="22"/>
          <w:color w:val="auto"/>
          <w:vertAlign w:val="superscript"/>
        </w:rPr>
        <w:t>(i)</w:t>
      </w:r>
    </w:p>
    <w:p>
      <w:pPr>
        <w:spacing w:after="0" w:line="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Total Shareholder Return relative to the Russell 2000 Index</w:t>
      </w:r>
    </w:p>
    <w:p>
      <w:pPr>
        <w:spacing w:after="0" w:line="27"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Refers to our GAAP operating income less the impact of stock-based compensation and the associated tax impact and excluding bonus accruals.</w:t>
      </w:r>
    </w:p>
    <w:p>
      <w:pPr>
        <w:spacing w:after="0" w:line="15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Ambarella’s equity compensation plans in effect as of January 31, 2024:</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3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5820" w:type="dxa"/>
            <w:vAlign w:val="bottom"/>
            <w:vMerge w:val="restart"/>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60" w:type="dxa"/>
            <w:vAlign w:val="bottom"/>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the first</w:t>
            </w: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12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38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Column</w:t>
            </w:r>
          </w:p>
        </w:tc>
        <w:tc>
          <w:tcPr>
            <w:tcW w:w="0" w:type="dxa"/>
            <w:vAlign w:val="bottom"/>
          </w:tcPr>
          <w:p>
            <w:pPr>
              <w:spacing w:after="0"/>
              <w:rPr>
                <w:sz w:val="1"/>
                <w:szCs w:val="1"/>
                <w:color w:val="auto"/>
              </w:rPr>
            </w:pPr>
          </w:p>
        </w:tc>
      </w:tr>
      <w:tr>
        <w:trPr>
          <w:trHeight w:val="190"/>
        </w:trPr>
        <w:tc>
          <w:tcPr>
            <w:tcW w:w="67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2012 Equity Incentive Plan</w:t>
            </w:r>
            <w:r>
              <w:rPr>
                <w:rFonts w:ascii="Times New Roman" w:cs="Times New Roman" w:eastAsia="Times New Roman" w:hAnsi="Times New Roman"/>
                <w:sz w:val="18"/>
                <w:szCs w:val="18"/>
                <w:color w:val="auto"/>
              </w:rPr>
              <w:t>(1)</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584,279(5)</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49.96</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2012 Employee Stock Purchase Plan</w:t>
            </w:r>
            <w:r>
              <w:rPr>
                <w:rFonts w:ascii="Times New Roman" w:cs="Times New Roman" w:eastAsia="Times New Roman" w:hAnsi="Times New Roman"/>
                <w:sz w:val="18"/>
                <w:szCs w:val="18"/>
                <w:color w:val="auto"/>
              </w:rPr>
              <w:t>(2)</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3,322,421</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2021 Equity Incentive Plan</w:t>
            </w:r>
            <w:r>
              <w:rPr>
                <w:rFonts w:ascii="Times New Roman" w:cs="Times New Roman" w:eastAsia="Times New Roman" w:hAnsi="Times New Roman"/>
                <w:sz w:val="18"/>
                <w:szCs w:val="18"/>
                <w:color w:val="auto"/>
              </w:rPr>
              <w:t>(3)</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2,145,821(6)</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1,699,391</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Oculii Corp. 2017 Stock Option Plan</w:t>
            </w:r>
            <w:r>
              <w:rPr>
                <w:rFonts w:ascii="Times New Roman" w:cs="Times New Roman" w:eastAsia="Times New Roman" w:hAnsi="Times New Roman"/>
                <w:sz w:val="18"/>
                <w:szCs w:val="18"/>
                <w:color w:val="auto"/>
              </w:rPr>
              <w:t>(4)</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63,214(7)</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28.87</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2,793,314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46.39(8)</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5,021,812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40" w:right="60" w:hanging="424"/>
        <w:spacing w:after="0" w:line="255"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adopted, and our shareholders approved, the 2012 Equity Incentive Plan, or 2012 Plan, which became effective in October 2012 in connection with our initial public offering. As a result of the adoption of the 2021 Equity Incentive Plan, or 2021 Plan, in 2021, we no longer grant awards under the 2012 Plan; however, all outstanding options and restricted stock unit awards issued pursuant to the 2012 Plan prior to adoption of the 2021 Plan continue to be governed by their existing terms.</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adopted, and our shareholders approved, the 2012 Employee Stock Purchase Plan, or ESPP, which became effective in October 2012 in connection with our initial public offering. A total of 460,445 ordinary shares were initially authorized for issuance under the ESPP. The ESPP provides that the number of ordinary shares available for issuance under the ESPP will be increased on the first day of each fiscal year beginning with the 2014 fiscal year, in an amount equal to the least of (i) 1,500,000 ordinary shares, (ii) one and one-quarter percent (1.25%) of the outstanding ordinary shares on the last day of the immediately preceding fiscal year or (iii) such other amount as may be determined by the Board.</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adopted, and our shareholders approved, the 2021 Plan at our 2021 annual shareholder meeting. A total of 1,350,000 ordinary shares were initially authorized for issuance under the 2021 Plan, plus any shares reserved for issuance under the 2012 Plan that were not subject to outstanding awards at the time the 2021 Plan was approved by our shareholders and any shares which were subject to awards granted under the 2021 Plan and subsequently expire, terminate or are forfeited.</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acquisition of Oculii Corp. in November 2021, we assumed the Oculii Corp. 2017 Stock Option Plan, or 2017 Plan. No additional awards will be granted under the 2017 Plan. However, all outstanding stock options previously granted under the 2017 Plan will remain subject to the terms of the 2017 Plan and any outstanding stock options that are cancelled or forfeited due to failure to vest will immediately expire from the 2017 Plan.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274,172 shares granted as restricted stock units and options to purchase 310,107 shares.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entirely of shares granted as restricted stock units.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entirely of outstanding options to purchase shares.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does not take into account outstanding restricted stock units, which have no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-3019425</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Ambarella’s ordinary shares as of March 1, 2024 by: (i) each director; (ii) each of the executive officers named in the Summary Compensation Table (referred to in this Proxy Statement as our “named executive officers”); (iii) all executive officers and directors of Ambarella as a group; and (iv) all those known by Ambarella to be beneficial owners of more than five percent of its ordinary shares.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6780" w:type="dxa"/>
            <w:vAlign w:val="bottom"/>
            <w:vMerge w:val="restart"/>
          </w:tcPr>
          <w:p>
            <w:pPr>
              <w:spacing w:after="0"/>
              <w:rPr>
                <w:sz w:val="15"/>
                <w:szCs w:val="15"/>
                <w:color w:val="auto"/>
              </w:rPr>
            </w:pPr>
          </w:p>
        </w:tc>
        <w:tc>
          <w:tcPr>
            <w:tcW w:w="316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Beneficial Ownership(1)</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vMerge w:val="continue"/>
          </w:tcPr>
          <w:p>
            <w:pPr>
              <w:spacing w:after="0"/>
              <w:rPr>
                <w:sz w:val="12"/>
                <w:szCs w:val="12"/>
                <w:color w:val="auto"/>
              </w:rPr>
            </w:pPr>
          </w:p>
        </w:tc>
        <w:tc>
          <w:tcPr>
            <w:tcW w:w="6780" w:type="dxa"/>
            <w:vAlign w:val="bottom"/>
            <w:vMerge w:val="continue"/>
          </w:tcPr>
          <w:p>
            <w:pPr>
              <w:spacing w:after="0"/>
              <w:rPr>
                <w:sz w:val="12"/>
                <w:szCs w:val="12"/>
                <w:color w:val="auto"/>
              </w:rPr>
            </w:pPr>
          </w:p>
        </w:tc>
        <w:tc>
          <w:tcPr>
            <w:tcW w:w="1960" w:type="dxa"/>
            <w:vAlign w:val="bottom"/>
            <w:tcBorders>
              <w:top w:val="single" w:sz="8" w:color="auto"/>
            </w:tcBorders>
            <w:gridSpan w:val="2"/>
          </w:tcPr>
          <w:p>
            <w:pPr>
              <w:jc w:val="right"/>
              <w:ind w:right="840"/>
              <w:spacing w:after="0" w:line="12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9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 of Total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8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Shareholders:</w:t>
            </w:r>
          </w:p>
        </w:tc>
        <w:tc>
          <w:tcPr>
            <w:tcW w:w="1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Vanguard Group(2)</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4,092,534</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Inc.(3)</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3,381,197</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2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Feng-Ming (Fermi) Wang(4)</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819,196</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Kohn(5)</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925,945</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White(6)</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35,192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W. Lee(7)</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87,907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Chi-Hong (John) Ju(8)</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167,818</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De Greef-Safft(9)</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5,789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Hsaio-Wuen Hon(10)</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23,672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Chenming C. Hu(11)</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22,035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B. Paisley(12)</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37,798</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Jeffrey Richardson(13)</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20,829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M. Schwarting(14)</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4,795</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W. Verhalen(15)</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100,835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(14 persons) (16)</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2,318,351</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10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in the case of principal shareholders, Schedules 13G filed with the SEC prior to March 1, 2024. Unless otherwise indicated in the footnotes to this table and subject to community property laws where applicable, Ambarella believes that each of the shareholders named in this table has sole voting and investment power with respect to the shares indicated as beneficially owned. Applicable percentages are based on 40,59,547 of our ordinary shares outstanding on March 1, 2024. Beneficial ownership is determined in accordance with the rules of the SEC. In computing the number of shares beneficially owned by a person and the percentage of ownership of that person, stock options held by that person that are currently exercisable or become exercisable within 60 days of March 1, 2024 and restricted stock unit awards held by that person that are subject to release within 60 days of March 1, 2024 are considered to be outstanding and beneficially owned by such person. Those shares, however, are not deemed outstanding for the purpose of computing the percentage ownership of any other person.</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13G/A filed with the SEC on February 13, 2024, The Vanguard Group reported that as of December 31, 2023 it had shared voting power over 52,006 shares, sole dispositive power over 3,999,902 shares, and shared dispositive power over 92,632 shares, and that its principal address is 100 Vanguard Blvd., Malvern, PA 19355.</w:t>
      </w:r>
    </w:p>
    <w:p>
      <w:pPr>
        <w:spacing w:after="0" w:line="1" w:lineRule="exact"/>
        <w:rPr>
          <w:rFonts w:ascii="Times New Roman" w:cs="Times New Roman" w:eastAsia="Times New Roman" w:hAnsi="Times New Roman"/>
          <w:sz w:val="18"/>
          <w:szCs w:val="18"/>
          <w:color w:val="auto"/>
        </w:rPr>
      </w:pPr>
    </w:p>
    <w:p>
      <w:pPr>
        <w:jc w:val="both"/>
        <w:ind w:left="540" w:right="16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13G/A filed with the SEC on February 9, 2024, BlackRock, Inc. reported that as of December 31, 2023 it had sole voting power over 3,299,890 shares and sole dispositive power over 3,381,197 shares, and that its principal address is 50 Hudson Yards, New York, NY 10001.</w:t>
      </w:r>
    </w:p>
    <w:p>
      <w:pPr>
        <w:spacing w:after="0" w:line="1" w:lineRule="exact"/>
        <w:rPr>
          <w:rFonts w:ascii="Times New Roman" w:cs="Times New Roman" w:eastAsia="Times New Roman" w:hAnsi="Times New Roman"/>
          <w:sz w:val="18"/>
          <w:szCs w:val="18"/>
          <w:color w:val="auto"/>
        </w:rPr>
      </w:pPr>
    </w:p>
    <w:p>
      <w:pPr>
        <w:ind w:left="540" w:right="420" w:hanging="424"/>
        <w:spacing w:after="0" w:line="26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86,000 shares that Dr. Wang has a right to acquire pursuant to outstanding options and (ii) 6,009 shares expected to be vested and delivered pursuant to outstanding restricted stock unit awards within 60 days of March 1, 2024.</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3,325 shares expected to be vested and delivered pursuant to outstanding restricted stock unit awards within 60 days of March 1, 2024.</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White retired from the Company on February 2,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2,951 shares expected to be vested and delivered pursuant to outstanding restricted stock unit awards within 60 days of March 1, 2024.</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8,900 shares that Mr. Ju has a right to acquire pursuant to outstanding options and (ii) 2,086 shares expected to be vested and delivered pursuant to outstanding restricted stock unit awards within 60 days of March 1, 2024.</w:t>
      </w: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805 shares expected to be vested and delivered pursuant to an outstanding restricted stock unit award within 60 days of March 1,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805 shares expected to be vested and delivered pursuant to an outstanding restricted stock unit award within 60 days of March 1,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805 shares expected to be vested and delivered pursuant to an outstanding restricted stock unit award within 60 days of March 1,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805 shares expected to be vested and delivered pursuant to an outstanding restricted stock unit award within 60 days of March 1,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805 shares expected to be vested and delivered pursuant to an outstanding restricted stock unit award within 60 days of March 1,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805 shares expected to be vested and delivered pursuant to an outstanding restricted stock unit award within 60 days of March 1, 2024.</w:t>
      </w:r>
    </w:p>
    <w:p>
      <w:pPr>
        <w:spacing w:after="0" w:line="9"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5,555 shares that Mr. Verhalen has a right to acquire pursuant to an outstanding option, and (ii) 805 shares expected to be vested and delivered pursuant to an outstanding restricted stock unit award within 60 days of March 1, 2024.</w:t>
      </w:r>
    </w:p>
    <w:p>
      <w:pPr>
        <w:ind w:left="540" w:right="60" w:hanging="424"/>
        <w:spacing w:after="0" w:line="26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128,485 shares that our directors and executive officers have a right to acquire within 60 days of March 1, 2024 pursuant to outstanding options and restricted stock unit awards.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compensation arrangements with directors and executive officers described elsewhere in this Proxy Statement, the following is a description of each transaction since February 1, 2024 and each currently proposed transaction in which:</w:t>
      </w:r>
    </w:p>
    <w:p>
      <w:pPr>
        <w:spacing w:after="0" w:line="67"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Ambarella has been or is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or will exceed $120,000;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our ordinary shares, or any immediate family member of or person sharing the household with any of these individuals (other than tenants or employees),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 with Executive Officers and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Ambarella has entered into indemnification agreements with each of its directors and executive officers pursuant to which Ambarella has agreed to indemnify the directors and executive officers against certain liabilities and expenses incurred by such persons in connection with claims by reason of their being such a director or officer. These indemnification agreements and Ambarella’s memorandum and articles of association will indemnify each of our directors and officers to the fullest extent permitted by applicable Cayman Islands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 Policy and Procedures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2012, Ambarella adopted a formal written policy that became effective upon completion of Ambarella’s initial public offering that all executive officers, directors, nominees for election as directors, beneficial owners of more than 5% of our ordinary shares and any member of the immediate family of any of the foregoing persons, are not permitted to enter into a related party transaction in which the aggregate amount involved will or may be expected to exceed $120,000 in any calendar year with Ambarella without the prior consent of Ambarella’s audit committee, subject to the pre-approval exceptions described below. If advance approval is not feasible, then the related party transaction will be considered at the audit committee’s next regularly scheduled meeting. In approving or rejecting any such proposal, the audit committee is to consider the relevant facts and circumstances including, but not limited to, whether the transaction is on terms no less favorable than terms generally available to an unaffiliated third party under the same or similar circumstances and the extent of the related party’s interest in the transaction. The Board has delegated to the chair of the audit committee the authority to pre-approve or ratify any request to enter into a transaction with a related party, in which the amount involved is less than $250,000 and where the chair is not the related party. The audit committee may also review certain types of related party transactions that it has deemed pre-approved even if the aggregate amount involved will exceed $120,000 including, employment of executive officers, director compensation, certain transactions with other organizations in which the relevant person is not an executive officer or beneficial owner of more than 10%, certain charitable contributions, transactions where all shareholders receive proportional benefits, transactions involving competitive bids, regulated transactions and certain banking-related services.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APPROVAL OF THE AMBARELLA, INC. 2021 EQUITY INCENTIVE PLAN, AS AMENDED AND RESTATED</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shareholders are being asked to approve our 2021 Equity Incentive Plan (the “2021 Plan”), which was amended and restated to increase the number of our ordinary shares that may be subject to awards and issued under the 2021 Plan by 1,750,000 shares (the “Share Increase”). The Board has adopted the 2021 Plan, as amended and restated, subject to approval from our shareholders at the 2024 Annual Meeting of Shareholders. If our shareholders approve the 2021 Plan, as amended and restated, it will become effective on the date of the 2024 Annual Meeting of Shareholders. If the amended and restated 2021 Plan is not approved by our shareholders, then the 2021 Plan will remain in effect without the Share Increase amendment. Other than the Share Increase, no other changes have been made to the 2021 Plan since shareholders initially approved its adoption in 2021.</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strongly believe that an employee equity compensation program is a necessary and powerful tool that benefits all shareholders. Our industry, in general, is characterized by high demand and intense competition for talent. As we transitioned into AI computer vision technology, the pool of qualified candidates has become more limited, particularly in Silicon Valley, and we increasingly compete for engineering talent with technology companies that are much larger and have greater resources than us and our compensation peer group of companies. With the broader proliferation of AI in the past couple of years, the competition for talent has further intensified. The amended and restated 2021 Plan, if approved by shareholders, will allow the Company to continue to provide equity awards as part of the Company’s compensation program, a very important tool for motivating, attracting and retaining talented employees and for providing incentives that promote the Company’s business and increase shareholder value. If our shareholders do not approve the amended and restated 2021 Plan, awards will continue to be made under the 2021 Plan only to the extent shares remain available, which could preclude us from successfully attracting, motivating and retaining highly skilled employees.</w:t>
      </w:r>
    </w:p>
    <w:p>
      <w:pPr>
        <w:spacing w:after="0" w:line="18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Company’s named executive officers, directors and director nominees have an interest in this proposal as they are eligible to receive equity awards under the 2021 Plan. Future awards under the 2021 Plan are discretionary and therefore are not yet determinable.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At the 2024 Annual Meeting of Shareholders, we are asking our shareholders to approve the 2021 Plan, as amended and restated, to increase the number of our ordinary shares that may be subject to awards and issued under the 2021 Plan by 1,750,000 shares, which Share Increase will be subject to the adjustment provisions of the 2021 Plan. If our shareholders approve the amended and restated 2021 Plan, we currently anticipate that the shares will be sufficient to meet our expected needs through the date of our 2026 Annual Meeting of Shareholders.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historically provided time-based restricted stock units, performance-based restricted stock units and stock options as an incentive to our employees, directors and consultants to promote increased shareholder value. The Board and management believe that time-and performance-based restricted stock units and stock options, as well as other types of equity awards, are one of the primary ways to attract and retain key personnel responsible for the continued development and growth of our business, and to motivate all employees to increase shareholder value. Since our equity awards generally vest over several years, the value ultimately realized from these awards depends on the long-term value of our stock.</w:t>
      </w:r>
    </w:p>
    <w:p>
      <w:pPr>
        <w:spacing w:after="0" w:line="89" w:lineRule="exact"/>
        <w:rPr>
          <w:sz w:val="20"/>
          <w:szCs w:val="20"/>
          <w:color w:val="auto"/>
        </w:rPr>
      </w:pPr>
    </w:p>
    <w:p>
      <w:pPr>
        <w:ind w:left="5540" w:right="3020" w:hanging="4884"/>
        <w:spacing w:after="0" w:line="595" w:lineRule="auto"/>
        <w:tabs>
          <w:tab w:leader="none" w:pos="109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 2024, approximately 98% of our employees had received grants of equity awards. 63</w:t>
      </w:r>
    </w:p>
    <w:p>
      <w:pPr>
        <w:sectPr>
          <w:pgSz w:w="11900" w:h="16838" w:orient="portrait"/>
          <w:cols w:equalWidth="0" w:num="1">
            <w:col w:w="11040"/>
          </w:cols>
          <w:pgMar w:left="320" w:top="482" w:right="5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46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each of our executive’s compensation opportunity is based on long-term equity awards. For fiscal year 2024, approximately 82% of total target compensation for our CEO and, on average, 80% of total target compensation for our other named executive officers, was in the form of equity vesting over three years.</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Restricted stock units, stock options and other types of equity awards are considered a competitive necessity in the high technology sector in which we compete. This necessity has become more pronounced for us as we have transitioned to AI computer vision markets and sought to hire and retain AI engineers to support our transition to these markets. As AI engineering and management experience has grown in importance, market-competitive compensation has increased, especially in the past few years, and the pool of qualified candidates has become more limited, particularly in Silicon Valley, and we often compete for talent with companies much larger than us and our compensation peer group of companies. Similarly, hiring and retaining very large-scale integration (VLSI) engineers that design our SoCs has become more critical as we have transitioned to more advanced process nodes, such as 5 nanometer, and seek to develop more complex solutions for new AI applications.</w:t>
      </w:r>
    </w:p>
    <w:p>
      <w:pPr>
        <w:spacing w:after="0" w:line="18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Board and the compensation committee believe that the Company must offer a competitive equity incentive program if it is to continue to successfully attract and retain the best possible candidates for positions of substantial responsibility within the Company, and that long-term incentive compensation programs help align more closely the interests of management, employees and shareholders to create long-term shareholder value. The Board and the compensation committee believe that the approval of the 2021 Plan, as amended and restated, will be essential in our ability to continue attracting, retaining and rewarding high caliber employees who are essential to our success and providing incentive to these individuals to promote the success of the Company.</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believes it has acted prudently with respect to issuance of equity awards under the 2021 Plan since it was approved by our shareholders in 2021. The average annual share usage, or burn rate, under our equity compensation program for the last three fiscal years is 3.65%, calculated by dividing the number of shares subject to equity awards granted during the period by the number of ordinary shares outstanding at the end of the period. The burn rate for fiscal year 2024 was 3.01%. Our Board and compensation committee are committed to continuing this responsible grant practice. If our shareholders approve the amended and restated 2021 Plan, we currently anticipate that the shares will be sufficient to meet our expected needs for two years.</w:t>
      </w:r>
    </w:p>
    <w:p>
      <w:pPr>
        <w:spacing w:after="0" w:line="187"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If the amended and restated 2021 Plan is not approved by our shareholders, then the 2021 Plan will remain in effect without the Share Increase amendment and such a result is likely to compel the Company to significantly increase the cash component of employee compensation to continue to attract and retain key employees because the Company would need to replace or supplement components of compensation the Company previously would have been able to deliver in the form of equity awards. As equity compensation is a significant component of our compensation structure, we anticipate that hiring and retaining key talent, particularly AI and VLSI engineers, would become even more challenging if the amended and restated 2021 Plan is not approved by our shareholders and we were limited in our ability to offer equity awards.</w:t>
      </w:r>
    </w:p>
    <w:p>
      <w:pPr>
        <w:spacing w:after="0" w:line="183"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unanimously recommends that shareholders vote “FOR” the approval of the 2021 Equity Incentive Plan, as amended and restated.</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Background of the Share Increase Under the 2021 Plan</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our shareholders approve the amended and restated 2021 Plan, we currently anticipate that the shares will be sufficient to meet our expected needs through the date of our 2026 annual meeting of shareholders.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Subject to adjustment upon changes in capitalization of the Company as provided under the 2021 Plan, the total number of Company ordinary shares that will be reserved for issuance under the 2021 Plan, as amended and restated, will be equal to (a) 3,100,000 ordinary shares of the Company, plus (b) (i) any ordinary shares subject to awards granted under the Company’s 2012 Equity Incentive Plan (the “2012 Plan”) that, after the date the 2012</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82"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Plan was terminated on June 17, 2021, were or are cancelled, expire or otherwise terminate without having been exercised in full or are forfeited to or repurchased by the Company due to failure to vest, plus (ii) 3,574,824 ordinary shares, which represents the number of ordinary shares that, as of immediately prior to the termination of the 2012 Plan, were reserved but not issued pursuant to any awards granted under the 2012 Plan and were not subject to any awards thereunder, with the maximum number of Company ordinary shares that may be added to the 2021 Plan pursuant to clause (b) equal to 6,834,208 Company ordinary shares.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determining the number of shares to be reserved for issuance under the amended and restated 2021 Plan, the compensation committee and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considered various factors, including the following:</w:t>
      </w:r>
    </w:p>
    <w:p>
      <w:pPr>
        <w:spacing w:after="0" w:line="205"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Historical Grant Practices</w:t>
      </w:r>
      <w:r>
        <w:rPr>
          <w:rFonts w:ascii="Times New Roman" w:cs="Times New Roman" w:eastAsia="Times New Roman" w:hAnsi="Times New Roman"/>
          <w:sz w:val="18"/>
          <w:szCs w:val="18"/>
          <w:color w:val="auto"/>
        </w:rPr>
        <w:t>. The compensation committee and the Board considered the historical amounts of equity awards that we granted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past three years. The annual share usage, or burn rate, under our equity compensation program for the last three years was as follows: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Annual Share Usage</w:t>
            </w:r>
          </w:p>
        </w:tc>
        <w:tc>
          <w:tcPr>
            <w:tcW w:w="3000" w:type="dxa"/>
            <w:vAlign w:val="bottom"/>
          </w:tcPr>
          <w:p>
            <w:pPr>
              <w:spacing w:after="0"/>
              <w:rPr>
                <w:sz w:val="16"/>
                <w:szCs w:val="16"/>
                <w:color w:val="auto"/>
              </w:rPr>
            </w:pPr>
          </w:p>
        </w:tc>
        <w:tc>
          <w:tcPr>
            <w:tcW w:w="200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Fiscal Year 2022</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Fiscal Year 2023</w:t>
            </w: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Three-Year Average</w:t>
            </w:r>
          </w:p>
        </w:tc>
      </w:tr>
      <w:tr>
        <w:trPr>
          <w:trHeight w:val="203"/>
        </w:trPr>
        <w:tc>
          <w:tcPr>
            <w:tcW w:w="4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Stock Options Granted</w:t>
            </w:r>
          </w:p>
        </w:tc>
        <w:tc>
          <w:tcPr>
            <w:tcW w:w="3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120,342</w:t>
            </w:r>
          </w:p>
        </w:tc>
        <w:tc>
          <w:tcPr>
            <w:tcW w:w="6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40,114</w:t>
            </w: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20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1,061,998</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1,274,126</w:t>
            </w: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1,091,264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1,142,463</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RSUs Earned(1)</w:t>
            </w:r>
          </w:p>
        </w:tc>
        <w:tc>
          <w:tcPr>
            <w:tcW w:w="20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182,519</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354,468</w:t>
            </w:r>
          </w:p>
        </w:tc>
        <w:tc>
          <w:tcPr>
            <w:tcW w:w="19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107,671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214,886</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 Awards Granted/Earned</w:t>
            </w:r>
          </w:p>
        </w:tc>
        <w:tc>
          <w:tcPr>
            <w:tcW w:w="20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1,364,859</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1,628,594</w:t>
            </w: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1,198,935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1,397,463</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Ordinary Shares Outstanding</w:t>
            </w:r>
          </w:p>
        </w:tc>
        <w:tc>
          <w:tcPr>
            <w:tcW w:w="20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36,577,120</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38,363,638</w:t>
            </w:r>
          </w:p>
        </w:tc>
        <w:tc>
          <w:tcPr>
            <w:tcW w:w="19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39,878,872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38,273,210</w:t>
            </w:r>
          </w:p>
        </w:tc>
      </w:t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Unadjusted Burn-Rate</w:t>
            </w:r>
          </w:p>
        </w:tc>
        <w:tc>
          <w:tcPr>
            <w:tcW w:w="20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3.73%</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4.25%</w:t>
            </w:r>
          </w:p>
        </w:tc>
        <w:tc>
          <w:tcPr>
            <w:tcW w:w="19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3.01%</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right="160" w:hanging="424"/>
        <w:spacing w:after="0" w:line="258"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includes performance-based RSUs that were earned in the applicable fiscal year. The target number of performance-based RSUs granted in those fiscal years were: fiscal year 2022: 73,036; fiscal year 2023: 104,974; and fiscal year 2024: 146,231. Performance-based shares earned in fiscal year 2022 were issued in fiscal year 2019, performance-based shares earned in fiscal year 2023 were issued in fiscal year 2020, and performance-based shares earned in fiscal year 2024 were issued in fiscal year 2021; all of which were granted under the 2012 Plan prior to adoption of the 2021 Plan.</w:t>
      </w:r>
    </w:p>
    <w:p>
      <w:pPr>
        <w:spacing w:after="0" w:line="181"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Forecasted Grant Practices. </w:t>
      </w:r>
      <w:r>
        <w:rPr>
          <w:rFonts w:ascii="Times New Roman" w:cs="Times New Roman" w:eastAsia="Times New Roman" w:hAnsi="Times New Roman"/>
          <w:sz w:val="18"/>
          <w:szCs w:val="18"/>
          <w:color w:val="auto"/>
        </w:rPr>
        <w:t>The Board and the compensation committee anticipate that the shares reserved under the 2021 Plan, as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based on currently projected share use, will be sufficient for the granting of equity awards thereunder for approximately the next two years. As a result, we currently anticipate that we will be requesting additional shares thereunder at our 2026 Annual Meeting. Despite the projected share use described above, future circumstances and business needs, such as higher than expected headcount increases, including officers and other key employees to support growth in development or commercial activities or merger and acquisition activity, may result in a significant increase in projected or actual grants of options, restricted stock units and/or other equity awards.</w:t>
      </w:r>
    </w:p>
    <w:p>
      <w:pPr>
        <w:spacing w:after="0" w:line="182"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Overhang. </w:t>
      </w:r>
      <w:r>
        <w:rPr>
          <w:rFonts w:ascii="Times New Roman" w:cs="Times New Roman" w:eastAsia="Times New Roman" w:hAnsi="Times New Roman"/>
          <w:sz w:val="18"/>
          <w:szCs w:val="18"/>
          <w:color w:val="auto"/>
        </w:rPr>
        <w:t>As of April 1, 2024, our overhang is 8.93%. For this purpose, we calculated overhang as (x) the sum of (i) 364,048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outstanding options under our 2012 Plan and the 2021 Plan, plus (ii) 3,292,423 ordinary shares subject to outstanding restricted stock units under the 2012 Plan and the 2021 Plan, including performance-based restricted stock units (assuming the maximum level of achievement of the applicable performance goals), divided by (y) 40,962,191, which is the total number of outstanding Company ordinary shares as of April 1, 2024. The outstanding options have a weighted average exercise price of $46.69 and a weighted average remaining term of 1.11 years. Our 2012 Plan has previously terminated and, therefore, no additional equity awards have been granted under this plan since its termination or will be granted under the plan in the future.</w:t>
      </w:r>
    </w:p>
    <w:p>
      <w:pPr>
        <w:spacing w:after="0" w:line="185"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Considering the factors described above, and the fact that the ability to continue to grant equity compensation is critical to our ability to attract and retain employees in an extremely competitive market, our Board has determined the proposed Share Increase is reasonable and appropriate at this time.</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the 2021 Plan, as Amended and Restated</w:t>
      </w:r>
    </w:p>
    <w:p>
      <w:pPr>
        <w:spacing w:after="0" w:line="12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following paragraphs provide a summary of the principal features of the 2021 Plan, as amended and restated, and its operation. However, this summary is not a complete description of all of the provisions of the 2021 Plan, as amended and restated, and is qualified in its entirety by the specific language of the amended and restated 2021 Plan. A copy of the amended and restated 2021 Plan is attached to this proxy statement as Annex A.</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Purposes</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purposes of the 2021 Plan are to attract and retain the best available personnel for positions of substantial responsibility, to provide additional incentive to employees, directors and consultants who perform services to the Company, and to promote the success of the Company’s business. These incentives will be provided through the grant of stock options, stock appreciation rights, restricted stock, restricted stock units, and performance awards as the administrator (as defined below) of the 2021 Plan may determine.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2021 Plan permits the grant of incentive stock options, within the meaning of Section 422 of the Internal Revenue Code, to the Company’s employees and any of its parent and subsidiary corporations’ employees, and the grant of nonstatutory stock options, restricted stock, restricted stock units, stock appreciation rights and performance awards to employees, directors and consultants of the Company and employees and consultants of any of its parents or subsidiaries. As of April 1, 2024, 7 non-employee directors, approximately 914 employees (including 7 executive officers) and 2 consultants are eligible to participate in the 2021 Plan. The basis for participation in the 2021 Plan by eligible persons is the selection of such persons by the administrator (or its proper delegate) in its discretion.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Subject to the adjustment provisions contained in the 2021 Plan, and prior to the Share Increase, the total number of Company ordinary shares that are reserved for issuance under the 2021 Plan is equal to (a) 1,350,000 ordinary shares of the Company, plus (b) (i) any shares subject to awards granted under the 2012 Plan that, after the date the 2012 Plan was terminated on June 17, 2021, are cancelled, expire or otherwise terminate (or were cancelled, expired or otherwise terminated) without having been exercised in full or are (or were) forfeited to or repurchased by the Company due to failure to vest, and (ii) 3,574,824 shares, which represents the number of Company ordinary shares that, as of immediately prior to the termination of the 2012 Plan, were reserved but not issued pursuant to any awards granted under the 2012 Plan and were not subject to any awards thereunder, with the maximum number of shares that may be added to the 2021 Plan pursuant to clause (b) equal to 6,834,208 ordinary shares of the Company. Under the 2021 Plan, as amended and restated, our shareholders are being asked to approve a Share Increase of 1,750,000 ordinary shares in the maximum number of Company ordinary shares that may be issued pursuant to awards under the 2021 Plan, as amended and restated. Thus, if our shareholders approve the 2021 Plan, as amended and restated, then total number of Company ordinary shares that are reserved for issuance will equal 3,100,000 ordinary shares, plus the number of ordinary shares described in clause (b) above. Subject to adjustment as provided in the 2021 Plan, the maximum number of ordinary shares that may be issued upon the exercise of incentive stock options under the 2021 Plan, as amended and restated, will equal the aggregate share number set forth in the immediately preceding sentence, plus, to the extent allowable under the incentive stock option rules, any shares that become available for issuance under the 2021 Plan pursuant to the following paragraph. As of April 1, 2024, a total of 2,477,137 ordinary shares were subject to awards outstanding under the 2021 Plan and the number of ordinary shares that were available for future issuance under the 2021 Plan was 1,168,739 ordinary shares.</w:t>
      </w:r>
    </w:p>
    <w:p>
      <w:pPr>
        <w:spacing w:after="0" w:line="19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any award granted under the 2021 Plan expires or becomes unexercisable without having been exercised in full, or, with respect to restricted stock, restricted stock units, or performance awards, is forfeited to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repurchased by the Company due to failure to vest, then the unpurchased or forfeited or repurchased shares subject to such award will become available for future grant or sale under the 2021 Plan (unless the 2021 Plan has terminated). With respect to the exercise of stock appreciation rights settled in shares, the gross number of shares covered by the portion of the exercised award, whether or not actually issued pursuant to such exercise, will cease to be available under the 2021 Plan. If shares issued pursuant to restricted stock, restricted stock units, or performance awards are repurchased by or forfeited to the Company due to failure to vest, such shares will become available for future grant under the 2021 Plan. Shares used to pay the exercise price of an award or to satisfy the tax withholding obligations of an award will not become available for future grant or sale under the 2021 Plan. Payment of cash rather than shares pursuant to an award will not result in reducing the number of shares available for issuance under the 2021 Plan.</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Shares and Awards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event of any dividend or other distribution (whether in the form of cash, ordinary shares, other securities, or other property), recapitalization, share or stock split, reverse share or stock split, reorganization, merger, consolidation, split-up, spin-off, combination, reclassification, repurchase, or exchange of shares or other securities of the Company, or other change in the corporate structure affecting the Company’s ordinary shares occurs (other than any ordinary dividends or other ordinary distributions), the administrator, in order to prevent diminution or enlargement of the benefits or potential benefits intended to be made available under the 2021 Plan, will adjust the number and class of shares that may be delivered under the 2021 Plan, and/or the number, class and price of shares subject to outstanding awards, and the numerical share limits contained in the 2021 Plan.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With respect to any options and stock appreciation rights granted under the 2021 Plan, until the ordinary shares are issued under the award, the participant will not have any rights to dividends or other rights as a shareholder with respect to such shares, including even if the participant has exercised the award. No adjustment will be made for a dividend or other right for which the record date is prior to the date the shares are issued under the option or stock appreciation right, except as provided in the 2021 Plan (and summarized further below). Participants holding restricted stock will be entitled to receive all dividends and other distributions paid with respect to the shares (whether vested or unvested) subject to such award, unless the administrator provides otherwise. Until the ordinary shares are issued under restricted stock units and performance awards, the participant will not have any rights to dividends or any other rights as a shareholder with respect to such shares, unless determined otherwise by the administrator. However, any dividends or distributions payable with respect to restricted stock or with respect to restricted stock units and performance awards (if at all), will be subject to the same restrictions on transferability and/or forfeitability as the shares subject to such award on which they were paid. The number of ordinary shares available for issuance under the 2021 Plan will not be reduced to reflect any dividends or other distributions that are reinvested into additional ordinary shares or credited as additional ordinary shares subject to or paid with respect to an award.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2021 Plan will be administered by the Board, any committee of the Board, or a committee of individuals satisfying applicable laws appointed by the Board in accordance with the terms of the 2021 Plan (the “administrator”). The compensation committee currently administers the 2021 Plan and will continue to administer the 2021 Plan, although the Board also has and may continue to act as administrator as well. In addition, to the extent it is desirable to qualify transactions under the 2021 Plan as exempt under Rule 16b-3 of the Exchange Act, such transactions will be structured to satisfy the requirements for exemption under Rule 16b-3.</w:t>
      </w:r>
    </w:p>
    <w:p>
      <w:pPr>
        <w:spacing w:after="0" w:line="7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2021 Plan, the administrator has the power to interpret and administer the 2021 Plan and make all determinations deemed necessary or advisable for administering the 2021 Plan, including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82"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but not limited to, the power to determine the fair market value of the ordinary shares, to determine whether and to what extent awards are granted under the 2021 Plan,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temporarily suspend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construe and interpret the terms of the 2021 Plan and awards granted under it, prescribe, amend and rescind rules relating to the 2021 Plan, including making rules and regulations relating</w:t>
      </w:r>
    </w:p>
    <w:p>
      <w:pPr>
        <w:spacing w:after="0" w:line="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to sub-plans established for the purpose of facilitating compliance with applicable non-U.S. laws, easing the administration of the 2021 Plan or qualifying for favorable tax treatment under applicable non-U.S. laws, modify or amend each award, and allow a participant to defer the receipt of payment of cash or the delivery of shares that otherwise would be due to such participant under an award. The administrator’s decisions, interpretations and other actions are final and binding on all participants and will be given the maximum deference permitted by applicable law. Notwithstanding the powers of the administrator, the administrator may not institute an exchange program.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Stock options may be granted under the 2021 Plan. The exercise price of options granted under the 2021 Plan generally must be equal to at least 100% of the fair market value of a Company ordinary share on the date of grant. However, an exception may be made for any options that are granted in substitution for options held by award holders of companies that the Company acquires in a manner consistent with Section 424(a) of the Internal Revenue Code. The term of an option may not exceed ten years. With respect to any participant who owns more than 10% of the voting power of all classes of the Company’s (or any of its parent’s or subsidiary’s) outstanding shares, the term of an incentive stock option granted to such participant must not exceed five years and the per share exercise price must equal at least 110% of the fair market value of an ordinary share of the Company on the grant date. The administrator will determine the methods of payment of the exercise price of an option, which may include cash, certain ordinary shares of the Company, cashless exercise, net exercise, as well as other types of consideration permitted by applicable law. Options will be exercisable at such times or under such conditions as determined by the administrator and set forth in the award agreement. After the cessation of service of an employee, director or consultant, he or she may exercise his or her option for the period of time stated in his or her award agreement. In the absence of a specified time in an award agreement, if such cessation is due to death or disability, the option will remain exercisable for twelve months following the cessation of service. In all other cases, in the absence of a specified time in an award agreement, the option will remain exercisable for ninety days following the cessation of service. An option, however, may not be exercised later than the expiration of its term. Subject to the provisions of the 2021 Plan, the administrator determines the terms of options. An award agreement may provide for an extension of a post-service exercise period upon a cessation of service for reasons other than death or disability if the exercise of the option following such cessation of service would result in liability under Section 16(b) of the Exchange Act or would violate the registration requirements under the U.S. Securities Act of 1933, as amended.</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Stock appreciation rights may be granted under the 2021 Plan. Stock appreciation rights allow the recipient to receive the appreciation in the fair market value of Company ordinary shares between the date of grant and the exercise date. The term of a stock appreciation right may not exceed ten years. After the cessation of service of an employee, director or consultant, he or she may exercise his or her stock appreciation right for the period of time stated in his or her stock appreciation rights agreement. The terms and conditions relating to the maximum term and the period of exercise following a cessation of service with respect to options described above also apply to stock appreciation rights. Subject to the provisions of the 2021 Plan, the administrator determines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82"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terms of stock appreciation rights, including when such rights become exercisable and whether to pay any increased appreciation in cash or with ordinary shares of the Company, or a combination of both, except that the per-share exercise price for the shares that will be used to determine the amount of payment or number of shares to be issued pursuant to the exercise of a stock appreciation right generally will be no less than 100% of the fair market value per share on the date of grant.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Restricted stock may be granted under the 2021 Plan. Restricted stock awards are grants of ordinary shares of the Company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Shares of restricted stock that do not vest are subject to the right of repurchase or forfeiture.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Restricted stock units (or “RSUs”) may be granted under the 2021 Plan. Each restricted stock unit is a bookkeeping entry representing an amount equal to the fair market value of one ordinary share of the Company.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21"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All outside (non-employee) directors will be eligible to receive all types of awards (except for incentive stock options) under the 2021 Plan. The 2021 Plan provides that in any given fiscal year of ours, no outside director may be granted any equity awards (including equity awards under the 2021 Plan) (the value of which will be based on their grant date fair value) and be provided any cash retainers or fees for service as an outside director in amounts that, in the aggregate, exceed $500,000, provided that in the Company’s fiscal year of the individual’s initial service as a non-employee director, such amount is increased to $1,000,000. For the purposes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60"/>
          </w:cols>
          <w:pgMar w:left="320" w:top="482" w:right="5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of this maximum limit provision, the grant date fair values of awards granted under the 2021 Plan will be determined according to U.S. GAAP. Any awards or other compensation provided to an individual for his or her services as an employee or a consultant (other than an outside director), will not count toward this limit. This maximum limit provision does not reflect the intended size of any potential grants or a commitment to make grants to the outside directors under the 2021 Plan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Non-Transferability of Awards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Dissolution or Liquidation</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there is a proposed liquidation or dissolution of the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or Change in Control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2021 Plan provides that in the event of the Company’s merger with or into another corporation or other entity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 successor corporation or its parent or subsidiary does not assume or substitute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with the participant authorized by the administrator.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non-employee director authorized by the administrator.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Forfeiture and Clawback</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the Company is required to restate its audited financial statements due to material noncompliance with any financial reporting requirement under the securities laws, each current or former executive officer participant shall be required to immediately repay the Company any compensation they received pursuant to awards granted under the 2021 Plan during the three-year period preceding the date upon which the Company is required to prepare the restatement that is in excess of what would have been paid to the executive officer participant under the restated financial statement, in accordance with Section 10D of the U.S. Securities Exchange Act of 1934, as amended, and any rules promulgated thereunder. Any amount required to be repaid under this provision will be determined by the administrator in its sole discretion, unless otherwise required by applicable laws.</w:t>
      </w:r>
    </w:p>
    <w:p>
      <w:pPr>
        <w:spacing w:after="0" w:line="18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In addition, awards will be subject to any clawback policy of which we are required to adopt pursuant to the listing standards of any national securities exchange or association on which Company securities are listed or as is otherwise required by applicable laws, including our Compensation Recovery Policy adopted on November 28, 2023. The administrator may require a participant to forfeit or return to us, or reimburse us for, all or a portion of the award and any amounts paid under the award in order to comply with any such clawback policy or with applicable laws. The administrator also may specify in an award agreement that the participant’s rights, payments and benefits with respect to an award will be subject to reduction, cancellation, forfeiture or recoupment upon the occurrence of certain specified events.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w:t>
      </w:r>
    </w:p>
    <w:p>
      <w:pPr>
        <w:spacing w:after="0" w:line="121" w:lineRule="exact"/>
        <w:rPr>
          <w:sz w:val="20"/>
          <w:szCs w:val="20"/>
          <w:color w:val="auto"/>
        </w:rPr>
      </w:pPr>
    </w:p>
    <w:p>
      <w:pPr>
        <w:jc w:val="both"/>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Board initially approved the 2021 Plan on April 12, 2021, and the 2021 Plan became effective on June 17, 2021, which was the date that the 2021 Plan was approved by the shareholders of the Company. The 2021 Plan, as amended and restated, will become effective upon the date on which it is approved by the shareholders of the Company. The 2021 Plan will continue in effect for a term of ten years from the date of the original adoption of the 2021 Plan by the Board, unless terminated earlier by the administrator. In addition, the administrator will have the authority to amend, suspend, or terminate the 2021 Plan or any part of the 2021 Plan, at any time and for any reason, but such action generally may not materially impair the rights of any participant without his or her written consent.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U.S. Federal Income Tax Consequences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U.S. federal income tax consequences of participation in the 2021 Plan. The summary is based on existing U.S. laws and regulations as of April 1, 2024,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country in which the participant may reside. As a result, tax consequences for any particular participant may vary based on individual circumstances.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participant generally recognizes no taxable income for ordinary income tax purposes as a result of the grant or exercise of an option that qualifies as an incentive stock option under Section 422 of the Internal Revenue Code. If a participant exercises the option and then later sells or otherwise disposes of the shares acquired through the exercise of the option after both the two-year anniversary of the date the option was granted and the one-year anniversary of the date of exercise of the option, the participant will recognize a capital gain or loss equal to the difference between the sale price of the shares and the exercise price.</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However, if the participant disposes of such shares either on or before the two-year anniversary of the date of grant or on or before the one-year anniversary of the date of exercise of the option (a “disqualifying disposition”), any gain up to the excess of the fair market value of the shares on the date of exercise over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82"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exercise price generally will be taxed as ordinary income, unless the shares are disposed of in a transaction in which the participant would not recognize a gain (such as a gift). Any gain in excess of that amount will be a capital gain. If a loss is recognized with respect to the share disposition, there will be no ordinary income, and such loss will be a capital loss.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alternative minimum tax, the difference between the fair market value of the shares over the option exercise price on the date of exercise of the option is treated as an adjustment item in computing the participant’s alternative minimum taxable income in the year of exercise (unless the shares are disposed of in the same year as the option exercise). In addition, special alternative minimum tax rules may apply to certain subsequent disqualifying dispositions of the shares or provide certain basis adjustments or tax credits.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participant generally recognizes no taxable income for ordinary income tax purposes as a result of the grant of such an option. However, upon exercising the option, the participant generally recognizes ordinary income equal to the amount that the fair market value of the shares on such date exceeds the exercise price. If the participant is an employee, such ordinary income generally is subject to withholding of income and employment taxes. Upon the sale or other disposition of the shares acquired by the exercise of a nonstatutory stock option, any gain or loss (based on the difference between the sale price and the fair market value on the exercise date) will be taxed as capital gain or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general, no taxable income for ordinary income tax purposes is reportable when a stock appreciation right is granted to a participant. Upon exercise, the participant generally will recognize ordinary income in an amount equal to the fair market value of any shares received. Any additional gain or loss recognized upon any later disposition of the shares would be capital gain or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pursuant to Section 83(b) of the Internal Revenue Code, may elect to accelerate the ordinary income tax event to the date of acquisition of the shares by filing an election with the IRS generally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 and Performance Awards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There generally are no immediate tax consequences of receiving an award of restricted stock units or a performance award. A participant who is granted restricted stock units or performance awards generally will be required to recognize ordinary income in an amount equal to the fair market value of shares issued to such participant at the time of settlement. If the participant is an employee, generally such ordinary income is subject to withholding of income taxes, and certain employment tax withholdings also would apply to the shares that vest. Any additional gain or loss recognized upon any later disposition of any shares received would be capital gain or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409A</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Section 409A of the Internal Revenue Code provides certain requirements for non-qualified deferred compensation arrangements with respect to an individual’s deferral and distribution elections and permissible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distribution events. Awards with a deferral feature to a participant subject to U.S. income tax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Medicare Surtax</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a participant’s annual “net investment income,” as defined in Section 1411 of the Internal Revenue Code, may be subject to a 3.8% U.S. federal surtax. Net investment income may include capital gain and/or loss arising from the disposition of ordinary shares of the Company issued pursuant to awards under the 2021 Plan. Whether a participant’s net investment income will be subject to this surtax will depend on the participant’s level of annual income and other factors.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Effect for the Company</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generally will be entitled to a tax deduction in connection with an award under the 2021 Plan in an amount equal to the ordinary income realized by a participant and at the time the participant recognizes such income (for example, the exercise of a nonstatutory stock option) except to the extent such deduction is limited by applicable provisions of the Internal Revenue Code. Special rules limit the deductibility of compensation paid to the Company’s chief executive officer and certain “covered employees” as determined under Section 162(m) of the Internal Revenue Code and applicable guidance. Under Section 162(m) of the Internal Revenue Code, the annual compensation paid to any of these specified individuals will be deductible only to the extent that it does not exceed $1,000,000.</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FOREGOING IS ONLY A SUMMARY OF THE EFFECT OF U.S. FEDERAL INCOME TAXATION UPON PARTICIPANTS AND THE COMPANY WITH RESPECT TO AWARDS UNDER THE 2021 PLAN. IT DOES NOT PURPORT TO BE COMPLETE AND DOES NOT DISCUSS THE IMPACT OF EMPLOYMENT OR OTHER TAX REQUIREMENTS, THE TAX CONSEQUENCES OF A PARTICIPANT’S DEATH, OR THE PROVISIONS OF THE INCOME TAX LAWS OF ANY MUNICIPALITY, STATE, OR NON-U.S. COUNTRY IN WHICH THE PARTICIPANT MAY RESIDE.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of Awards Granted to Employees, Consultants and Directors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number of awards that an employee, director or consultant may receive under the 2021 Plan, as amended and restated, is in the discretion of the administrator and therefore cannot be determined in advance. The following table sets forth the aggregate number of ordinary shares subject to restricted stock units and performance-based restricted stock units (at the target number of shares awarded) granted under the 2021 Plan to our NEOs and the below-listed groups during the last fiscal year (no other types of awards were granted to such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individuals during the last fiscal year). As of April 1, 2024, the closing price of an ordinary share of the Company as reported on the Nasdaq Global Select Market was $50.09.</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r>
        <w:trPr>
          <w:trHeight w:val="149"/>
        </w:trPr>
        <w:tc>
          <w:tcPr>
            <w:tcW w:w="1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 or Group</w:t>
            </w:r>
          </w:p>
        </w:tc>
        <w:tc>
          <w:tcPr>
            <w:tcW w:w="5900" w:type="dxa"/>
            <w:vAlign w:val="bottom"/>
            <w:vMerge w:val="restart"/>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80"/>
        </w:trPr>
        <w:tc>
          <w:tcPr>
            <w:tcW w:w="1800" w:type="dxa"/>
            <w:vAlign w:val="bottom"/>
            <w:tcBorders>
              <w:bottom w:val="single" w:sz="8" w:color="auto"/>
            </w:tcBorders>
            <w:vMerge w:val="continue"/>
          </w:tcPr>
          <w:p>
            <w:pPr>
              <w:spacing w:after="0"/>
              <w:rPr>
                <w:sz w:val="15"/>
                <w:szCs w:val="15"/>
                <w:color w:val="auto"/>
              </w:rPr>
            </w:pPr>
          </w:p>
        </w:tc>
        <w:tc>
          <w:tcPr>
            <w:tcW w:w="5900" w:type="dxa"/>
            <w:vAlign w:val="bottom"/>
            <w:vMerge w:val="continue"/>
          </w:tcPr>
          <w:p>
            <w:pPr>
              <w:spacing w:after="0"/>
              <w:rPr>
                <w:sz w:val="15"/>
                <w:szCs w:val="15"/>
                <w:color w:val="auto"/>
              </w:rPr>
            </w:pPr>
          </w:p>
        </w:tc>
        <w:tc>
          <w:tcPr>
            <w:tcW w:w="106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(at Target)</w:t>
            </w:r>
          </w:p>
        </w:tc>
        <w:tc>
          <w:tcPr>
            <w:tcW w:w="11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Granted</w:t>
            </w:r>
          </w:p>
        </w:tc>
        <w:tc>
          <w:tcPr>
            <w:tcW w:w="200" w:type="dxa"/>
            <w:vAlign w:val="bottom"/>
          </w:tcPr>
          <w:p>
            <w:pPr>
              <w:spacing w:after="0"/>
              <w:rPr>
                <w:sz w:val="15"/>
                <w:szCs w:val="15"/>
                <w:color w:val="auto"/>
              </w:rPr>
            </w:pPr>
          </w:p>
        </w:tc>
        <w:tc>
          <w:tcPr>
            <w:tcW w:w="96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Stock Units</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3"/>
        </w:trPr>
        <w:tc>
          <w:tcPr>
            <w:tcW w:w="7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Feng-Ming (Fermi) Wang, Chairman of the Board of Directors, President and Chief Executive Officer</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27,598</w:t>
            </w:r>
          </w:p>
        </w:tc>
        <w:tc>
          <w:tcPr>
            <w:tcW w:w="3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27,598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5,050,710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 Chief Technology Officer and Director</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14,663</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2,683,476</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Young, Chief Financial Officer</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3,556</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650,784</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 White, former Chief Financial Officer</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13,678</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2,503,211</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 W. Lee, Chief Operating Officer</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13,678</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2,503,211</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Chi-Hong (John) Ju, Sr. Vice President, Systems</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9,553</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1,748,295</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as a group</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89,968</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91,754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15,139,687</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who are not executive officers, as a group</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22,526</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1,399,991</w:t>
            </w:r>
          </w:p>
        </w:tc>
        <w:tc>
          <w:tcPr>
            <w:tcW w:w="0" w:type="dxa"/>
            <w:vAlign w:val="bottom"/>
          </w:tcPr>
          <w:p>
            <w:pPr>
              <w:spacing w:after="0"/>
              <w:rPr>
                <w:sz w:val="1"/>
                <w:szCs w:val="1"/>
                <w:color w:val="auto"/>
              </w:rPr>
            </w:pPr>
          </w:p>
        </w:tc>
      </w:tr>
      <w:tr>
        <w:trPr>
          <w:trHeight w:val="198"/>
        </w:trPr>
        <w:tc>
          <w:tcPr>
            <w:tcW w:w="7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employees who are not executive officers, as a group</w:t>
            </w: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7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978,770</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58,033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69,080,547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of the equity awards computed in accordance with FASB ASC Topic 718.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Approval of the 2021 Plan, as amended and restated, requires the affirmative vote of a majority of the shares present and voting at the Annual Meeting in person or by proxy. Failure to vote by proxy or to vote in person at the special meeting, or a broker non-vote will have no effect on the outcome of the vote on this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recommends a vote FOR the approval of the 2021 Equity Incentive Plan, as amended and restated.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SHAREHOLDER PROPOSALS FOR THE 2025 ANNUAL MEETING OF SHAREHOLDERS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 shareholder wishes to present a proposal to be included in our Proxy Statement for the 2025 Annual Meeting of Shareholders, the proponent and the proposal must comply with the proxy proposal submission rules of the SEC. One of the requirements is that the proposal be received by the Secretary no later than January 2, 2025. Proposals we receive after that date will not be included in the Proxy Statement. We urge shareholders to submit proposals by Certified Mail—Return Receipt Requested.</w:t>
      </w:r>
    </w:p>
    <w:p>
      <w:pPr>
        <w:spacing w:after="0" w:line="180" w:lineRule="exact"/>
        <w:rPr>
          <w:sz w:val="20"/>
          <w:szCs w:val="20"/>
          <w:color w:val="auto"/>
        </w:rPr>
      </w:pPr>
    </w:p>
    <w:p>
      <w:pPr>
        <w:ind w:left="120" w:firstLine="440"/>
        <w:spacing w:after="0" w:line="231" w:lineRule="auto"/>
        <w:rPr>
          <w:sz w:val="20"/>
          <w:szCs w:val="20"/>
          <w:color w:val="auto"/>
        </w:rPr>
      </w:pPr>
      <w:r>
        <w:rPr>
          <w:rFonts w:ascii="Times New Roman" w:cs="Times New Roman" w:eastAsia="Times New Roman" w:hAnsi="Times New Roman"/>
          <w:sz w:val="18"/>
          <w:szCs w:val="18"/>
          <w:color w:val="auto"/>
        </w:rPr>
        <w:t>A shareholder proposal not included in our proxy statement for the 2025 Annual Meeting of Shareholders will be ineligible for presentation at the 2025 Annual Meeting of Shareholders unless the shareholder gives timely notice of the proposal in writing to the Secretary of Ambarella at the principal executive offices of Ambarella. Under our articles of association, in order for a matter to be deemed properly presented by a shareholder, timely notice must be delivered to, or mailed and received by, us not more than one hundred twenty (120) days nor less than ninety (90) days in advance of the one-year anniversary of the date of our proxy statement provided in connection with the previous year’s Annual Meeting of shareholders, which dates are January 2, 2025 and February 1, 2025, respectively, for the 2025 Annual Meeting of Shareholders; provided, however, that in the event that we did not hold an Annual Meeting in the prior year or if the date of the Annual Meeting is more than 30 days before or after the anniversary date of the prior year’s Annual Meeting, we must receive the shareholder’s notice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Annual Meeting and not later than the close of business on the later of 90 days prior to the Annual Meeting and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day we provided such public disclosure of the meeting date.</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shareholder’s notice must set forth, as to each proposed matter, the following: (a) a brief description of the business desired to be brought before the meeting and reasons for conducting such business at the meeting; (b) the name and address, as they appear on our books, of the shareholder proposing such business; (c) the class and number of shares of our securities that are beneficially owned by the shareholder; (d) any material interest of the shareholder in such business; and (e) any other information that is required to be provided by such shareholder pursuant to our articles of association or the proxy proposal submission rules of the SEC. Additional requirements relating to shareholder nominations of individuals to stand for election to the Board at our annual meeting of shareholders may be found above in “Information Regarding the Board of Directors and Corporate Governance— Director Nominations.” The presiding officer of the meeting may refuse to acknowledge any matter not made in compliance with the foregoing procedure.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82"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reduce the expense of delivering duplicate proxy materials to shareholders who may have more than one account holding ordinary shares of Ambarella but who share the same address, we have adopted a procedure approved by the SEC called “householding.” Under this procedure, certain shareholders of record who have the same address and last name will receive only one copy of the Notice of Internet Availability for our proxy materials until such time as one or more of these shareholders notifies us that they want to receive separate copies. This procedure reduces duplicate mailings and saves printing costs and postage fees, as well as natural resources. Shareholders who participate in householding will continue to have access to and utilize separate proxy voting instructions.</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you are a registered shareholder and you receive a single copy of the Notice of Internet Availability as a result of householding, and you would like to have separate copies mailed to you, or if you receive multiple copies and would like to receive a single copy, you may submit a request in the following manners:</w:t>
      </w:r>
    </w:p>
    <w:p>
      <w:pPr>
        <w:spacing w:after="0" w:line="79"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internet:</w:t>
            </w:r>
          </w:p>
        </w:tc>
        <w:tc>
          <w:tcPr>
            <w:tcW w:w="9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xml:space="preserve">go to </w:t>
            </w:r>
            <w:r>
              <w:rPr>
                <w:rFonts w:ascii="Times New Roman" w:cs="Times New Roman" w:eastAsia="Times New Roman" w:hAnsi="Times New Roman"/>
                <w:sz w:val="18"/>
                <w:szCs w:val="18"/>
                <w:i w:val="1"/>
                <w:iCs w:val="1"/>
                <w:color w:val="auto"/>
              </w:rPr>
              <w:t>www.envisionreports.com/AMBA</w:t>
            </w:r>
          </w:p>
        </w:tc>
      </w:tr>
      <w:tr>
        <w:trPr>
          <w:trHeight w:val="324"/>
        </w:trPr>
        <w:tc>
          <w:tcPr>
            <w:tcW w:w="4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phone:</w:t>
            </w:r>
          </w:p>
        </w:tc>
        <w:tc>
          <w:tcPr>
            <w:tcW w:w="9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call 1-866-641-4276</w:t>
            </w:r>
          </w:p>
        </w:tc>
      </w:tr>
      <w:tr>
        <w:trPr>
          <w:trHeight w:val="283"/>
        </w:trPr>
        <w:tc>
          <w:tcPr>
            <w:tcW w:w="4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email:</w:t>
            </w:r>
          </w:p>
        </w:tc>
        <w:tc>
          <w:tcPr>
            <w:tcW w:w="9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send an email to investorvote@computershare.com with “Proxy Materials Ambarella Inc.” in the subject line. Include your</w:t>
            </w:r>
          </w:p>
        </w:tc>
      </w:tr>
      <w:tr>
        <w:trPr>
          <w:trHeight w:val="20"/>
        </w:trPr>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37"/>
        </w:trPr>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full name and address, as well as the unique ID number found on your Shareholder Meeting Notice.</w:t>
            </w:r>
          </w:p>
        </w:tc>
      </w:tr>
    </w:tbl>
    <w:p>
      <w:pPr>
        <w:spacing w:after="0" w:line="198"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Shareholders who hold shares in street name may contact their brokerage firm, bank, broker-dealer or other similar organization to request information about householding.</w:t>
      </w:r>
    </w:p>
    <w:p>
      <w:pPr>
        <w:spacing w:after="0" w:line="374" w:lineRule="exact"/>
        <w:rPr>
          <w:sz w:val="20"/>
          <w:szCs w:val="20"/>
          <w:color w:val="auto"/>
        </w:rPr>
      </w:pPr>
    </w:p>
    <w:p>
      <w:pPr>
        <w:jc w:val="center"/>
        <w:ind w:left="460" w:right="6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JUNE 12, 2024</w:t>
      </w:r>
    </w:p>
    <w:p>
      <w:pPr>
        <w:spacing w:after="0" w:line="157" w:lineRule="exact"/>
        <w:rPr>
          <w:sz w:val="20"/>
          <w:szCs w:val="20"/>
          <w:color w:val="auto"/>
        </w:rPr>
      </w:pPr>
    </w:p>
    <w:p>
      <w:pPr>
        <w:ind w:left="120" w:right="3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notice of annual meeting, proxy statement and annual report are available at </w:t>
      </w:r>
      <w:r>
        <w:rPr>
          <w:rFonts w:ascii="Times New Roman" w:cs="Times New Roman" w:eastAsia="Times New Roman" w:hAnsi="Times New Roman"/>
          <w:sz w:val="18"/>
          <w:szCs w:val="18"/>
          <w:i w:val="1"/>
          <w:iCs w:val="1"/>
          <w:color w:val="auto"/>
        </w:rPr>
        <w:t>www.edocumentview.com/AMBA</w:t>
      </w:r>
      <w:r>
        <w:rPr>
          <w:rFonts w:ascii="Times New Roman" w:cs="Times New Roman" w:eastAsia="Times New Roman" w:hAnsi="Times New Roman"/>
          <w:sz w:val="18"/>
          <w:szCs w:val="18"/>
          <w:color w:val="auto"/>
        </w:rPr>
        <w:t xml:space="preserve">. If you are a shareholder of record, you also may view these materials at </w:t>
      </w:r>
      <w:r>
        <w:rPr>
          <w:rFonts w:ascii="Times New Roman" w:cs="Times New Roman" w:eastAsia="Times New Roman" w:hAnsi="Times New Roman"/>
          <w:sz w:val="18"/>
          <w:szCs w:val="18"/>
          <w:i w:val="1"/>
          <w:iCs w:val="1"/>
          <w:color w:val="auto"/>
        </w:rPr>
        <w:t>http://www.envisionreports.com/AMBA.</w:t>
      </w: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7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1997075" cy="394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970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MICHAEL MOREHEAD</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3, 2024</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82"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Annex A</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2021 EQUITY INCENTIVE PLAN</w:t>
      </w:r>
    </w:p>
    <w:p>
      <w:pPr>
        <w:spacing w:after="0" w:line="225" w:lineRule="exact"/>
        <w:rPr>
          <w:sz w:val="20"/>
          <w:szCs w:val="20"/>
          <w:color w:val="auto"/>
        </w:rPr>
      </w:pPr>
    </w:p>
    <w:p>
      <w:pPr>
        <w:ind w:left="740" w:hanging="184"/>
        <w:spacing w:after="0"/>
        <w:tabs>
          <w:tab w:leader="none" w:pos="7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Purposes of the Plan</w:t>
      </w:r>
      <w:r>
        <w:rPr>
          <w:rFonts w:ascii="Times New Roman" w:cs="Times New Roman" w:eastAsia="Times New Roman" w:hAnsi="Times New Roman"/>
          <w:sz w:val="18"/>
          <w:szCs w:val="18"/>
          <w:color w:val="auto"/>
        </w:rPr>
        <w:t>. The purposes of this Plan are:</w:t>
      </w:r>
    </w:p>
    <w:p>
      <w:pPr>
        <w:spacing w:after="0" w:line="134"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left="120" w:right="700" w:firstLine="991"/>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Restricted Stock Units and Performance Awards.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w:t>
      </w:r>
    </w:p>
    <w:p>
      <w:pPr>
        <w:spacing w:after="0" w:line="95" w:lineRule="exact"/>
        <w:rPr>
          <w:sz w:val="20"/>
          <w:szCs w:val="20"/>
          <w:color w:val="auto"/>
        </w:rPr>
      </w:pPr>
    </w:p>
    <w:p>
      <w:pPr>
        <w:ind w:left="120" w:right="80" w:firstLine="991"/>
        <w:spacing w:after="0" w:line="26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Ordinary Shares, including but not limited to, under U.S. federal and state corporate laws, U.S. federal and state securities laws, the Code, any stock or share exchange or quotation system on which the Ordinary Shares are listed or quoted and the applicable laws of any non-U.S. country or jurisdiction where Awards are, or will be, granted under the Plan.</w:t>
      </w:r>
    </w:p>
    <w:p>
      <w:pPr>
        <w:spacing w:after="0" w:line="68" w:lineRule="exact"/>
        <w:rPr>
          <w:sz w:val="20"/>
          <w:szCs w:val="20"/>
          <w:color w:val="auto"/>
        </w:rPr>
      </w:pPr>
    </w:p>
    <w:p>
      <w:pPr>
        <w:ind w:left="120" w:right="740" w:firstLine="991"/>
        <w:spacing w:after="0" w:line="28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or Performance Awards.</w:t>
      </w:r>
    </w:p>
    <w:p>
      <w:pPr>
        <w:spacing w:after="0" w:line="47" w:lineRule="exact"/>
        <w:rPr>
          <w:sz w:val="20"/>
          <w:szCs w:val="20"/>
          <w:color w:val="auto"/>
        </w:rPr>
      </w:pPr>
    </w:p>
    <w:p>
      <w:pPr>
        <w:ind w:left="120" w:right="520" w:firstLine="991"/>
        <w:spacing w:after="0" w:line="28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117" w:lineRule="exact"/>
        <w:rPr>
          <w:sz w:val="20"/>
          <w:szCs w:val="20"/>
          <w:color w:val="auto"/>
        </w:rPr>
      </w:pPr>
    </w:p>
    <w:p>
      <w:pPr>
        <w:ind w:left="120" w:firstLine="1428"/>
        <w:spacing w:after="0" w:line="253" w:lineRule="auto"/>
        <w:tabs>
          <w:tab w:leader="none" w:pos="179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more than one person acting as a group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acquires ownership of the shares of the Company that, together with the shares held by such Person, constitutes more than fifty percent (50%) of the total voting power of the shares of the Company; provided, however, that for purposes of this subsection (a), the acquisition of additional shares by any one Person, who is considered to own more than fifty percent (50%) of the total voting power of the shares of the Company will not be considered a Change in Control; provided, further, that any change in the ownership of the shares of the Company as a result of a private financing of the Company that is approved by the Board also will not be considered a Change in Control. Further, if the shareholders of the Company immediately before such change in ownership continue to retain immediately after the change in ownership, in substantially the same proportions as their ownership of shares of the Company’s voting shares immediately prior to the change in ownership, direct or indirect beneficial ownership of fifty percent (50%) or more of the total voting power of the shares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81" w:lineRule="exact"/>
        <w:rPr>
          <w:rFonts w:ascii="Times New Roman" w:cs="Times New Roman" w:eastAsia="Times New Roman" w:hAnsi="Times New Roman"/>
          <w:sz w:val="18"/>
          <w:szCs w:val="18"/>
          <w:color w:val="auto"/>
        </w:rPr>
      </w:pPr>
    </w:p>
    <w:p>
      <w:pPr>
        <w:ind w:left="120" w:right="280" w:firstLine="987"/>
        <w:spacing w:after="0" w:line="268" w:lineRule="auto"/>
        <w:tabs>
          <w:tab w:leader="none" w:pos="13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 change in the effective control of the Company which occurs on the date that a majority of members of the Board is replaced during any twelve (12) month period by Directors</w:t>
      </w:r>
    </w:p>
    <w:p>
      <w:pPr>
        <w:sectPr>
          <w:pgSz w:w="11900" w:h="16838" w:orient="portrait"/>
          <w:cols w:equalWidth="0" w:num="1">
            <w:col w:w="11120"/>
          </w:cols>
          <w:pgMar w:left="320" w:top="482"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64" w:lineRule="exact"/>
        <w:rPr>
          <w:sz w:val="20"/>
          <w:szCs w:val="20"/>
          <w:color w:val="auto"/>
        </w:rPr>
      </w:pPr>
    </w:p>
    <w:p>
      <w:pPr>
        <w:ind w:left="120" w:right="60" w:firstLine="1428"/>
        <w:spacing w:after="0" w:line="253" w:lineRule="auto"/>
        <w:tabs>
          <w:tab w:leader="none" w:pos="179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shareholders immediately after the transfer, or (ii) a transfer of assets by the Company to: (A) a shareholder of the Company (immediately before the asset transfer) in exchange for or with respect to the Company’s shares, (B) an entity, fifty percent (50%) or more of the total value or voting power of which is owned, directly or indirectly, by the Company, (C) a Person, that owns, directly or indirectly, fifty percent (50%) or more of the total value or voting power of all the outstanding shares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94" w:lineRule="exact"/>
        <w:rPr>
          <w:sz w:val="20"/>
          <w:szCs w:val="20"/>
          <w:color w:val="auto"/>
        </w:rPr>
      </w:pPr>
    </w:p>
    <w:p>
      <w:pPr>
        <w:ind w:left="120" w:right="280" w:firstLine="1432"/>
        <w:spacing w:after="0" w:line="282" w:lineRule="auto"/>
        <w:rPr>
          <w:sz w:val="20"/>
          <w:szCs w:val="20"/>
          <w:color w:val="auto"/>
        </w:rPr>
      </w:pPr>
      <w:r>
        <w:rPr>
          <w:rFonts w:ascii="Times New Roman" w:cs="Times New Roman" w:eastAsia="Times New Roman" w:hAnsi="Times New Roman"/>
          <w:sz w:val="18"/>
          <w:szCs w:val="18"/>
          <w:color w:val="auto"/>
        </w:rPr>
        <w:t>For purposes of this Section 2.6, persons will be considered to be acting as a group if they are owners of a corporation that enters into a merger, consolidation, purchase or acquisition of shares, or similar business transaction with the Company.</w:t>
      </w:r>
    </w:p>
    <w:p>
      <w:pPr>
        <w:spacing w:after="0" w:line="162" w:lineRule="exact"/>
        <w:rPr>
          <w:sz w:val="20"/>
          <w:szCs w:val="20"/>
          <w:color w:val="auto"/>
        </w:rPr>
      </w:pPr>
    </w:p>
    <w:p>
      <w:pPr>
        <w:ind w:left="120" w:right="120" w:firstLine="1432"/>
        <w:spacing w:after="0" w:line="282"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w:t>
      </w:r>
    </w:p>
    <w:p>
      <w:pPr>
        <w:spacing w:after="0" w:line="162" w:lineRule="exact"/>
        <w:rPr>
          <w:sz w:val="20"/>
          <w:szCs w:val="20"/>
          <w:color w:val="auto"/>
        </w:rPr>
      </w:pPr>
    </w:p>
    <w:p>
      <w:pPr>
        <w:ind w:left="120" w:right="160" w:firstLine="1432"/>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64" w:lineRule="exact"/>
        <w:rPr>
          <w:sz w:val="20"/>
          <w:szCs w:val="20"/>
          <w:color w:val="auto"/>
        </w:rPr>
      </w:pPr>
    </w:p>
    <w:p>
      <w:pPr>
        <w:ind w:left="120" w:right="180" w:firstLine="991"/>
        <w:spacing w:after="0" w:line="291" w:lineRule="auto"/>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45" w:lineRule="exact"/>
        <w:rPr>
          <w:sz w:val="20"/>
          <w:szCs w:val="20"/>
          <w:color w:val="auto"/>
        </w:rPr>
      </w:pPr>
    </w:p>
    <w:p>
      <w:pPr>
        <w:ind w:left="120" w:right="40" w:firstLine="991"/>
        <w:spacing w:after="0" w:line="28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4 hereof.</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Ambarella, Inc., a Cayman Islands corporation, or any successor thereto.</w:t>
      </w:r>
    </w:p>
    <w:p>
      <w:pPr>
        <w:spacing w:after="0" w:line="117" w:lineRule="exact"/>
        <w:rPr>
          <w:sz w:val="20"/>
          <w:szCs w:val="20"/>
          <w:color w:val="auto"/>
        </w:rPr>
      </w:pPr>
    </w:p>
    <w:p>
      <w:pPr>
        <w:ind w:left="120" w:right="60" w:firstLine="991"/>
        <w:spacing w:after="0" w:line="278" w:lineRule="auto"/>
        <w:rPr>
          <w:sz w:val="20"/>
          <w:szCs w:val="20"/>
          <w:color w:val="auto"/>
        </w:rPr>
      </w:pPr>
      <w:r>
        <w:rPr>
          <w:rFonts w:ascii="Times New Roman" w:cs="Times New Roman" w:eastAsia="Times New Roman" w:hAnsi="Times New Roman"/>
          <w:sz w:val="17"/>
          <w:szCs w:val="17"/>
          <w:color w:val="auto"/>
        </w:rPr>
        <w:t>2.10 “</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w:t>
      </w:r>
    </w:p>
    <w:p>
      <w:pPr>
        <w:spacing w:after="0" w:line="1" w:lineRule="exact"/>
        <w:rPr>
          <w:sz w:val="20"/>
          <w:szCs w:val="20"/>
          <w:color w:val="auto"/>
        </w:rPr>
      </w:pPr>
    </w:p>
    <w:p>
      <w:pPr>
        <w:ind w:left="120" w:hanging="4"/>
        <w:spacing w:after="0" w:line="255" w:lineRule="auto"/>
        <w:tabs>
          <w:tab w:leader="none" w:pos="3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117" w:lineRule="exact"/>
        <w:rPr>
          <w:sz w:val="20"/>
          <w:szCs w:val="20"/>
          <w:color w:val="auto"/>
        </w:rPr>
      </w:pPr>
    </w:p>
    <w:p>
      <w:pPr>
        <w:ind w:left="120" w:right="60" w:firstLine="991"/>
        <w:spacing w:after="0" w:line="268"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60" w:firstLine="991"/>
        <w:spacing w:after="0" w:line="317" w:lineRule="auto"/>
        <w:rPr>
          <w:sz w:val="20"/>
          <w:szCs w:val="20"/>
          <w:color w:val="auto"/>
        </w:rPr>
      </w:pPr>
      <w:r>
        <w:rPr>
          <w:rFonts w:ascii="Times New Roman" w:cs="Times New Roman" w:eastAsia="Times New Roman" w:hAnsi="Times New Roman"/>
          <w:sz w:val="17"/>
          <w:szCs w:val="17"/>
          <w:color w:val="auto"/>
        </w:rPr>
        <w:t>2.13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thereunder.</w:t>
      </w:r>
    </w:p>
    <w:p>
      <w:pPr>
        <w:spacing w:after="0" w:line="95" w:lineRule="exact"/>
        <w:rPr>
          <w:sz w:val="20"/>
          <w:szCs w:val="20"/>
          <w:color w:val="auto"/>
        </w:rPr>
      </w:pPr>
    </w:p>
    <w:p>
      <w:pPr>
        <w:ind w:left="120" w:right="40" w:firstLine="991"/>
        <w:spacing w:after="0" w:line="262"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color w:val="auto"/>
        </w:rPr>
        <w:t>Exchange Program</w:t>
      </w:r>
      <w:r>
        <w:rPr>
          <w:rFonts w:ascii="Times New Roman" w:cs="Times New Roman" w:eastAsia="Times New Roman" w:hAnsi="Times New Roman"/>
          <w:sz w:val="18"/>
          <w:szCs w:val="18"/>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w:t>
      </w:r>
    </w:p>
    <w:p>
      <w:pPr>
        <w:spacing w:after="0" w:line="68" w:lineRule="exact"/>
        <w:rPr>
          <w:sz w:val="20"/>
          <w:szCs w:val="20"/>
          <w:color w:val="auto"/>
        </w:rPr>
      </w:pPr>
    </w:p>
    <w:p>
      <w:pPr>
        <w:ind w:left="120" w:right="580" w:firstLine="991"/>
        <w:spacing w:after="0" w:line="286"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Ordinary Shares determined as follows:</w:t>
      </w:r>
    </w:p>
    <w:p>
      <w:pPr>
        <w:spacing w:after="0" w:line="51" w:lineRule="exact"/>
        <w:rPr>
          <w:sz w:val="20"/>
          <w:szCs w:val="20"/>
          <w:color w:val="auto"/>
        </w:rPr>
      </w:pPr>
    </w:p>
    <w:p>
      <w:pPr>
        <w:ind w:left="120" w:right="60" w:firstLine="1428"/>
        <w:spacing w:after="0" w:line="258" w:lineRule="auto"/>
        <w:tabs>
          <w:tab w:leader="none" w:pos="179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Ordinary Shares are listed on any established stock or share exchange or a national market system, including without limitation the New York Stock Exchange or the Nasdaq Global Select Market, the Nasdaq Global Market, or the Nasdaq Capital Market of The Nasdaq Stock Market, its Fair Market Value will be the closing sales price for such shares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or such other source as the Administrator deems reliable;</w:t>
      </w:r>
    </w:p>
    <w:p>
      <w:pPr>
        <w:spacing w:after="0" w:line="75" w:lineRule="exact"/>
        <w:rPr>
          <w:rFonts w:ascii="Times New Roman" w:cs="Times New Roman" w:eastAsia="Times New Roman" w:hAnsi="Times New Roman"/>
          <w:sz w:val="18"/>
          <w:szCs w:val="18"/>
          <w:color w:val="auto"/>
        </w:rPr>
      </w:pPr>
    </w:p>
    <w:p>
      <w:pPr>
        <w:ind w:left="120" w:firstLine="1428"/>
        <w:spacing w:after="0" w:line="261" w:lineRule="auto"/>
        <w:tabs>
          <w:tab w:leader="none" w:pos="180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Ordinary Shares are regularly quoted by a recognized securities dealer but selling prices are not reported, the Fair Market Value of a Share will be the mean between the high bid and low asked prices for the Ordinary Shares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71"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Ordinary Shares, the Fair Market Value will be determined in good faith by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20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w:t>
      </w:r>
    </w:p>
    <w:p>
      <w:pPr>
        <w:spacing w:after="0" w:line="117" w:lineRule="exact"/>
        <w:rPr>
          <w:sz w:val="20"/>
          <w:szCs w:val="20"/>
          <w:color w:val="auto"/>
        </w:rPr>
      </w:pPr>
    </w:p>
    <w:p>
      <w:pPr>
        <w:ind w:left="120" w:right="400" w:firstLine="991"/>
        <w:spacing w:after="0" w:line="286"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Code Section 422 and the regulations promulgated thereunder.</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color w:val="auto"/>
        </w:rPr>
        <w:t>Inside Director</w:t>
      </w:r>
      <w:r>
        <w:rPr>
          <w:rFonts w:ascii="Times New Roman" w:cs="Times New Roman" w:eastAsia="Times New Roman" w:hAnsi="Times New Roman"/>
          <w:sz w:val="18"/>
          <w:szCs w:val="18"/>
          <w:color w:val="auto"/>
        </w:rPr>
        <w:t>” means a Director who is an Employee.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w:t>
      </w:r>
    </w:p>
    <w:p>
      <w:pPr>
        <w:spacing w:after="0" w:line="95" w:lineRule="exact"/>
        <w:rPr>
          <w:sz w:val="20"/>
          <w:szCs w:val="20"/>
          <w:color w:val="auto"/>
        </w:rPr>
      </w:pPr>
    </w:p>
    <w:p>
      <w:pPr>
        <w:ind w:left="120" w:right="60" w:firstLine="991"/>
        <w:spacing w:after="0" w:line="286"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Stock 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Share Option</w:t>
      </w:r>
      <w:r>
        <w:rPr>
          <w:rFonts w:ascii="Times New Roman" w:cs="Times New Roman" w:eastAsia="Times New Roman" w:hAnsi="Times New Roman"/>
          <w:sz w:val="18"/>
          <w:szCs w:val="18"/>
          <w:color w:val="auto"/>
        </w:rPr>
        <w:t>” means an option to purchase Shares granted pursuant to the Plan.</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shall mean the Ordinary Shares of the Company.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means a Director who is not an Employee.</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82"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the holder of an outstanding Award.</w:t>
      </w:r>
    </w:p>
    <w:p>
      <w:pPr>
        <w:spacing w:after="0" w:line="117" w:lineRule="exact"/>
        <w:rPr>
          <w:sz w:val="20"/>
          <w:szCs w:val="20"/>
          <w:color w:val="auto"/>
        </w:rPr>
      </w:pPr>
    </w:p>
    <w:p>
      <w:pPr>
        <w:ind w:left="120" w:firstLine="991"/>
        <w:spacing w:after="0" w:line="268"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cash- or share-denominated and may be settled for cash, Shares or other securities or a combination of the foregoing granted pursuant to Section 10.</w:t>
      </w:r>
    </w:p>
    <w:p>
      <w:pPr>
        <w:spacing w:after="0" w:line="63" w:lineRule="exact"/>
        <w:rPr>
          <w:sz w:val="20"/>
          <w:szCs w:val="20"/>
          <w:color w:val="auto"/>
        </w:rPr>
      </w:pPr>
    </w:p>
    <w:p>
      <w:pPr>
        <w:jc w:val="both"/>
        <w:ind w:left="120" w:right="160" w:firstLine="991"/>
        <w:spacing w:after="0" w:line="268"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color w:val="auto"/>
        </w:rPr>
        <w:t>Period of Restriction</w:t>
      </w:r>
      <w:r>
        <w:rPr>
          <w:rFonts w:ascii="Times New Roman" w:cs="Times New Roman" w:eastAsia="Times New Roman" w:hAnsi="Times New Roman"/>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2021 Equity Incentive Plan.</w:t>
      </w:r>
    </w:p>
    <w:p>
      <w:pPr>
        <w:spacing w:after="0" w:line="117" w:lineRule="exact"/>
        <w:rPr>
          <w:sz w:val="20"/>
          <w:szCs w:val="20"/>
          <w:color w:val="auto"/>
        </w:rPr>
      </w:pPr>
    </w:p>
    <w:p>
      <w:pPr>
        <w:ind w:left="120" w:right="120" w:firstLine="991"/>
        <w:spacing w:after="0" w:line="286"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Shares issued pursuant to an Award of Restricted Stock under Section 8 of the Plan, or issued pursuant to the early exercise of an Option.</w:t>
      </w:r>
    </w:p>
    <w:p>
      <w:pPr>
        <w:spacing w:after="0" w:line="47" w:lineRule="exact"/>
        <w:rPr>
          <w:sz w:val="20"/>
          <w:szCs w:val="20"/>
          <w:color w:val="auto"/>
        </w:rPr>
      </w:pPr>
    </w:p>
    <w:p>
      <w:pPr>
        <w:ind w:left="120" w:right="260" w:firstLine="991"/>
        <w:spacing w:after="0" w:line="286"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47" w:lineRule="exact"/>
        <w:rPr>
          <w:sz w:val="20"/>
          <w:szCs w:val="20"/>
          <w:color w:val="auto"/>
        </w:rPr>
      </w:pPr>
    </w:p>
    <w:p>
      <w:pPr>
        <w:ind w:left="120" w:right="120" w:firstLine="991"/>
        <w:spacing w:after="0" w:line="286"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color w:val="auto"/>
        </w:rPr>
        <w:t>Section 16b</w:t>
      </w:r>
      <w:r>
        <w:rPr>
          <w:rFonts w:ascii="Times New Roman" w:cs="Times New Roman" w:eastAsia="Times New Roman" w:hAnsi="Times New Roman"/>
          <w:sz w:val="18"/>
          <w:szCs w:val="18"/>
          <w:color w:val="auto"/>
        </w:rPr>
        <w:t>” means Section 16(b) of the Exchange Act.</w:t>
      </w:r>
    </w:p>
    <w:p>
      <w:pPr>
        <w:spacing w:after="0" w:line="117" w:lineRule="exact"/>
        <w:rPr>
          <w:sz w:val="20"/>
          <w:szCs w:val="20"/>
          <w:color w:val="auto"/>
        </w:rPr>
      </w:pPr>
    </w:p>
    <w:p>
      <w:pPr>
        <w:ind w:left="120" w:right="80" w:firstLine="991"/>
        <w:spacing w:after="0" w:line="286"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Code Section 409A and the U.S. Treasury Regulations and guidance thereunder, and any applicable state law equivalent, as each may be promulgated, amended or modified from time to time.</w:t>
      </w:r>
    </w:p>
    <w:p>
      <w:pPr>
        <w:spacing w:after="0" w:line="47" w:lineRule="exact"/>
        <w:rPr>
          <w:sz w:val="20"/>
          <w:szCs w:val="20"/>
          <w:color w:val="auto"/>
        </w:rPr>
      </w:pPr>
    </w:p>
    <w:p>
      <w:pPr>
        <w:ind w:left="120" w:right="80" w:firstLine="991"/>
        <w:spacing w:after="0" w:line="286"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b w:val="1"/>
          <w:bCs w:val="1"/>
          <w:color w:val="auto"/>
        </w:rPr>
        <w:t>Section 457A</w:t>
      </w:r>
      <w:r>
        <w:rPr>
          <w:rFonts w:ascii="Times New Roman" w:cs="Times New Roman" w:eastAsia="Times New Roman" w:hAnsi="Times New Roman"/>
          <w:sz w:val="18"/>
          <w:szCs w:val="18"/>
          <w:color w:val="auto"/>
        </w:rPr>
        <w:t>” means Code Section 457A and the U.S. Treasury Regulations and guidance thereunder, and any applicable state law equivalent, as each may be promulgated, amended or modified from time to time.</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including the rules and regulations promulgated thereunder.</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an Employee, Director or Consultant.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an Ordinary Share, as adjusted in accordance with Section 15 of the Plan.</w:t>
      </w:r>
    </w:p>
    <w:p>
      <w:pPr>
        <w:spacing w:after="0" w:line="117" w:lineRule="exact"/>
        <w:rPr>
          <w:sz w:val="20"/>
          <w:szCs w:val="20"/>
          <w:color w:val="auto"/>
        </w:rPr>
      </w:pPr>
    </w:p>
    <w:p>
      <w:pPr>
        <w:ind w:left="120" w:right="420" w:firstLine="991"/>
        <w:spacing w:after="0" w:line="286"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Share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117" w:lineRule="exact"/>
        <w:rPr>
          <w:sz w:val="20"/>
          <w:szCs w:val="20"/>
          <w:color w:val="auto"/>
        </w:rPr>
      </w:pPr>
    </w:p>
    <w:p>
      <w:pPr>
        <w:ind w:left="120" w:right="160" w:firstLine="991"/>
        <w:spacing w:after="0" w:line="268"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or share exchange, national market system, or other trading platform, as applicable, upon which the Ordinary Shares are listed (or otherwise trades regularly, as determined by the Administrator, in its sole discretion), is open for trading.</w:t>
      </w:r>
    </w:p>
    <w:p>
      <w:pPr>
        <w:spacing w:after="0" w:line="63" w:lineRule="exact"/>
        <w:rPr>
          <w:sz w:val="20"/>
          <w:szCs w:val="20"/>
          <w:color w:val="auto"/>
        </w:rPr>
      </w:pPr>
    </w:p>
    <w:p>
      <w:pPr>
        <w:ind w:left="120" w:right="20" w:firstLine="991"/>
        <w:spacing w:after="0" w:line="268"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1" w:lineRule="exact"/>
        <w:rPr>
          <w:sz w:val="20"/>
          <w:szCs w:val="20"/>
          <w:color w:val="auto"/>
        </w:rPr>
      </w:pPr>
    </w:p>
    <w:p>
      <w:pPr>
        <w:ind w:left="740" w:hanging="184"/>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 Subject to the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4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Shares Subject to the Plan</w:t>
      </w:r>
      <w:r>
        <w:rPr>
          <w:rFonts w:ascii="Times New Roman" w:cs="Times New Roman" w:eastAsia="Times New Roman" w:hAnsi="Times New Roman"/>
          <w:sz w:val="18"/>
          <w:szCs w:val="18"/>
          <w:color w:val="auto"/>
        </w:rPr>
        <w:t>. Subject to adjustment upon changes in capitalization of the Company as provided in Section 15, the maximum aggregate number of Shares that may be subject to Awards and issued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under the Plan will be equal to (a) 3,100,000 Shares plus (b) (i) any Shares subject to awards granted under the Company’s 2012 Equity Incentive Plan (the “</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color w:val="auto"/>
        </w:rPr>
        <w:t>”) that, after the date the Prior Plan is terminated, are cancelled, expire or otherwise terminate without having been exercised in full or are forfeited to or repurchased by the Company due to failure to vest, and (ii) any Shares that, as of immediately prior to the termination of the Prior Plan, have been reserved but not issued pursuant to any awards granted under the Prior Plan and are not subject to any awards thereunder, with the maximum number of Shares to be added to the Plan pursuant to clause (b) equal to 6,834,208 Shares. In addition, Shares may become available for issuance under Section 3.2. The Shares may be authorized but unissued, or reacquired Ordinary Shares.</w:t>
      </w:r>
    </w:p>
    <w:p>
      <w:pPr>
        <w:spacing w:after="0" w:line="75"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Lapsed Awards</w:t>
      </w:r>
      <w:r>
        <w:rPr>
          <w:rFonts w:ascii="Times New Roman" w:cs="Times New Roman" w:eastAsia="Times New Roman" w:hAnsi="Times New Roman"/>
          <w:sz w:val="18"/>
          <w:szCs w:val="18"/>
          <w:color w:val="auto"/>
        </w:rPr>
        <w:t>. If an Award expires or becomes unexercisable without having been exercised in full, or, with respect to Restricted Stock, Restricted Stock Units,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that are settled in Shares, the gross number of Shares covered by the portion of the Award so exercised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withholding obligations related to an Award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 3.2.</w:t>
      </w:r>
    </w:p>
    <w:p>
      <w:pPr>
        <w:spacing w:after="0" w:line="77" w:lineRule="exact"/>
        <w:rPr>
          <w:sz w:val="20"/>
          <w:szCs w:val="20"/>
          <w:color w:val="auto"/>
        </w:rPr>
      </w:pPr>
    </w:p>
    <w:p>
      <w:pPr>
        <w:ind w:left="120" w:right="1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55" w:lineRule="exact"/>
        <w:rPr>
          <w:sz w:val="20"/>
          <w:szCs w:val="20"/>
          <w:color w:val="auto"/>
        </w:rPr>
      </w:pPr>
    </w:p>
    <w:p>
      <w:pPr>
        <w:ind w:left="1100" w:right="8300" w:hanging="544"/>
        <w:spacing w:after="0" w:line="375" w:lineRule="auto"/>
        <w:tabs>
          <w:tab w:leader="none" w:pos="72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the 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Plan.</w:t>
      </w:r>
    </w:p>
    <w:p>
      <w:pPr>
        <w:spacing w:after="0" w:line="95" w:lineRule="exact"/>
        <w:rPr>
          <w:sz w:val="20"/>
          <w:szCs w:val="20"/>
          <w:color w:val="auto"/>
        </w:rPr>
      </w:pPr>
    </w:p>
    <w:p>
      <w:pPr>
        <w:ind w:left="120" w:right="940" w:firstLine="1432"/>
        <w:spacing w:after="0" w:line="28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47" w:lineRule="exact"/>
        <w:rPr>
          <w:sz w:val="20"/>
          <w:szCs w:val="20"/>
          <w:color w:val="auto"/>
        </w:rPr>
      </w:pPr>
    </w:p>
    <w:p>
      <w:pPr>
        <w:ind w:left="120" w:right="340" w:firstLine="1432"/>
        <w:spacing w:after="0" w:line="28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comply with Applicable Laws.</w:t>
      </w:r>
    </w:p>
    <w:p>
      <w:pPr>
        <w:spacing w:after="0" w:line="47" w:lineRule="exact"/>
        <w:rPr>
          <w:sz w:val="20"/>
          <w:szCs w:val="20"/>
          <w:color w:val="auto"/>
        </w:rPr>
      </w:pPr>
    </w:p>
    <w:p>
      <w:pPr>
        <w:ind w:left="120" w:right="4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51" w:lineRule="exact"/>
        <w:rPr>
          <w:sz w:val="20"/>
          <w:szCs w:val="20"/>
          <w:color w:val="auto"/>
        </w:rPr>
      </w:pPr>
    </w:p>
    <w:p>
      <w:pPr>
        <w:ind w:left="1800" w:hanging="252"/>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117"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117"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Awards are granted hereunder;</w:t>
      </w:r>
    </w:p>
    <w:p>
      <w:pPr>
        <w:spacing w:after="0" w:line="117"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dollar amounts to be covered by each Award granted hereunder;</w:t>
      </w:r>
    </w:p>
    <w:p>
      <w:pPr>
        <w:spacing w:after="0" w:line="117"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1428"/>
        <w:spacing w:after="0" w:line="274" w:lineRule="auto"/>
        <w:tabs>
          <w:tab w:leader="none" w:pos="177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64" w:lineRule="exact"/>
        <w:rPr>
          <w:rFonts w:ascii="Times New Roman" w:cs="Times New Roman" w:eastAsia="Times New Roman" w:hAnsi="Times New Roman"/>
          <w:sz w:val="17"/>
          <w:szCs w:val="17"/>
          <w:color w:val="auto"/>
        </w:rPr>
      </w:pPr>
    </w:p>
    <w:p>
      <w:pPr>
        <w:ind w:left="1800" w:hanging="252"/>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117" w:lineRule="exact"/>
        <w:rPr>
          <w:rFonts w:ascii="Times New Roman" w:cs="Times New Roman" w:eastAsia="Times New Roman" w:hAnsi="Times New Roman"/>
          <w:sz w:val="18"/>
          <w:szCs w:val="18"/>
          <w:color w:val="auto"/>
        </w:rPr>
      </w:pPr>
    </w:p>
    <w:p>
      <w:pPr>
        <w:ind w:left="120" w:right="20" w:firstLine="1428"/>
        <w:spacing w:after="0" w:line="266" w:lineRule="auto"/>
        <w:tabs>
          <w:tab w:leader="none" w:pos="18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facilitating compliance with applicable non-U.S. laws, easing the administration of the Plan or for qualifying for favorable tax treatment under applicable non-U.S. laws;</w:t>
      </w:r>
    </w:p>
    <w:p>
      <w:pPr>
        <w:spacing w:after="0" w:line="67" w:lineRule="exact"/>
        <w:rPr>
          <w:rFonts w:ascii="Times New Roman" w:cs="Times New Roman" w:eastAsia="Times New Roman" w:hAnsi="Times New Roman"/>
          <w:sz w:val="18"/>
          <w:szCs w:val="18"/>
          <w:color w:val="auto"/>
        </w:rPr>
      </w:pPr>
    </w:p>
    <w:p>
      <w:pPr>
        <w:jc w:val="both"/>
        <w:ind w:left="120" w:right="400" w:firstLine="1428"/>
        <w:spacing w:after="0" w:line="266" w:lineRule="auto"/>
        <w:tabs>
          <w:tab w:leader="none" w:pos="176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Sections 4.3 and 20.3), including but not limited to the discretionary authority to extend the post-termination exercisability period of Awards and to extend the maximum term of an Option or Stock Appreciation Right (subject to Sections 6.4 and 7.5);</w:t>
      </w:r>
    </w:p>
    <w:p>
      <w:pPr>
        <w:spacing w:after="0" w:line="67"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tax withholding obligations in a manner prescribed in Section 16;</w:t>
      </w:r>
    </w:p>
    <w:p>
      <w:pPr>
        <w:spacing w:after="0" w:line="117" w:lineRule="exact"/>
        <w:rPr>
          <w:rFonts w:ascii="Times New Roman" w:cs="Times New Roman" w:eastAsia="Times New Roman" w:hAnsi="Times New Roman"/>
          <w:sz w:val="18"/>
          <w:szCs w:val="18"/>
          <w:color w:val="auto"/>
        </w:rPr>
      </w:pPr>
    </w:p>
    <w:p>
      <w:pPr>
        <w:ind w:left="120" w:right="120" w:firstLine="1428"/>
        <w:spacing w:after="0" w:line="282" w:lineRule="auto"/>
        <w:tabs>
          <w:tab w:leader="none" w:pos="18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53" w:lineRule="exact"/>
        <w:rPr>
          <w:rFonts w:ascii="Times New Roman" w:cs="Times New Roman" w:eastAsia="Times New Roman" w:hAnsi="Times New Roman"/>
          <w:sz w:val="18"/>
          <w:szCs w:val="18"/>
          <w:color w:val="auto"/>
        </w:rPr>
      </w:pPr>
    </w:p>
    <w:p>
      <w:pPr>
        <w:ind w:left="120" w:right="300" w:firstLine="1428"/>
        <w:spacing w:after="0" w:line="282" w:lineRule="auto"/>
        <w:tabs>
          <w:tab w:leader="none" w:pos="176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 and</w:t>
      </w:r>
    </w:p>
    <w:p>
      <w:pPr>
        <w:spacing w:after="0" w:line="53"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5" w:lineRule="exact"/>
        <w:rPr>
          <w:sz w:val="20"/>
          <w:szCs w:val="20"/>
          <w:color w:val="auto"/>
        </w:rPr>
      </w:pPr>
    </w:p>
    <w:p>
      <w:pPr>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Exchange Program or Repricing</w:t>
      </w:r>
      <w:r>
        <w:rPr>
          <w:rFonts w:ascii="Times New Roman" w:cs="Times New Roman" w:eastAsia="Times New Roman" w:hAnsi="Times New Roman"/>
          <w:sz w:val="18"/>
          <w:szCs w:val="18"/>
          <w:color w:val="auto"/>
        </w:rPr>
        <w:t>. Notwithstanding the powers of the Administrator set forth herein, the Administrator will not be permitted to implement an Exchange Program.</w:t>
      </w:r>
    </w:p>
    <w:p>
      <w:pPr>
        <w:spacing w:after="0" w:line="162" w:lineRule="exact"/>
        <w:rPr>
          <w:sz w:val="20"/>
          <w:szCs w:val="20"/>
          <w:color w:val="auto"/>
        </w:rPr>
      </w:pPr>
    </w:p>
    <w:p>
      <w:pPr>
        <w:ind w:left="1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With respect to any Options and Stock Appreciation Rights, until the Shares are issued (as evidenced by the appropriate entry in the Register of Members of the Company or on the books of the Company or of a duly authorized transfer agent or registrar of the Company, as applicable) thereunder, no right to receive dividends or any other rights as a shareholder will exist with respect to the Shares subject to such Award, including without limitation notwithstanding any exercise of such Award. Further, no adjustment will be made for a dividend or other right for which the record date is prior to the date the Shares are issued under an Option or Stock Appreciation Right, except as provided in Section 15 of the Plan. During any applicable Period of Restriction, Service Providers holding Shares of Restricted Stock will be entitled to receive all dividends and other distributions paid with respect to such Shares, unless the Administrator provides otherwise; provided, however, that any such dividends or distributions payable with respect to such Shares will be subject to the same restrictions on transferability and/or forfeitability as the Shares of Restricted Stock with respect to which they were paid. With respect to Awards of Restricted Stock Units and Performance Awards, until the Shares are issued (as evidenced by the appropriate entry in the Register of Members of the Company or on the books of the Company or a duly authorized transfer agent of the Company, as applicable), no right to receive dividends or any other rights as a shareholder will exist with respect to the Shares subject to such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such Award with respect to which they were paid. For the avoidance of doubt, the number of Shares available for issuance under the Plan will not be reduced to reflect any dividends or other distributions that are reinvested into additional Shares or credited as additional Shares subject to or paid with respect to an Award.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55" w:lineRule="exact"/>
        <w:rPr>
          <w:sz w:val="20"/>
          <w:szCs w:val="20"/>
          <w:color w:val="auto"/>
        </w:rPr>
      </w:pPr>
    </w:p>
    <w:p>
      <w:pPr>
        <w:ind w:left="120" w:right="40" w:firstLine="436"/>
        <w:spacing w:after="0" w:line="286" w:lineRule="auto"/>
        <w:tabs>
          <w:tab w:leader="none" w:pos="7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and Performance Awards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Service Providers. Incentive Stock Options may be granted only to Employees.</w:t>
      </w:r>
    </w:p>
    <w:p>
      <w:pPr>
        <w:spacing w:after="0" w:line="154"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2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Grant of Options</w:t>
      </w:r>
      <w:r>
        <w:rPr>
          <w:rFonts w:ascii="Times New Roman" w:cs="Times New Roman" w:eastAsia="Times New Roman" w:hAnsi="Times New Roman"/>
          <w:sz w:val="18"/>
          <w:szCs w:val="18"/>
          <w:color w:val="auto"/>
        </w:rPr>
        <w:t>. Subject to the terms and provisions of the Plan, the Administrator, at any time and from time to time, may grant Options to Service Providers in such amounts as the Administrator, in its sole discretion, will determine.</w:t>
      </w:r>
    </w:p>
    <w:p>
      <w:pPr>
        <w:spacing w:after="0" w:line="47" w:lineRule="exact"/>
        <w:rPr>
          <w:sz w:val="20"/>
          <w:szCs w:val="20"/>
          <w:color w:val="auto"/>
        </w:rPr>
      </w:pPr>
    </w:p>
    <w:p>
      <w:pPr>
        <w:jc w:val="both"/>
        <w:ind w:left="120" w:right="40" w:firstLine="991"/>
        <w:spacing w:after="0" w:line="26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63"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75" w:lineRule="exact"/>
        <w:rPr>
          <w:sz w:val="20"/>
          <w:szCs w:val="20"/>
          <w:color w:val="auto"/>
        </w:rPr>
      </w:pPr>
    </w:p>
    <w:p>
      <w:pPr>
        <w:ind w:left="120" w:right="60" w:firstLine="991"/>
        <w:spacing w:after="0" w:line="259"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shares representing more than ten percent (10%) of the total combined voting power of all classes of shares of the Company or any Parent or Subsidiary, the term of the Incentive Stock Option will be five (5) years from the date of grant or such shorter term as may be provided in the Award Agreement.</w:t>
      </w:r>
    </w:p>
    <w:p>
      <w:pPr>
        <w:spacing w:after="0" w:line="7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Option Exercise Price and Consideration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shares representing more than ten percent (10%) of the voting power of all classes of shares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75" w:lineRule="exact"/>
        <w:rPr>
          <w:sz w:val="20"/>
          <w:szCs w:val="20"/>
          <w:color w:val="auto"/>
        </w:rPr>
      </w:pPr>
    </w:p>
    <w:p>
      <w:pPr>
        <w:ind w:left="120" w:right="100" w:firstLine="1432"/>
        <w:spacing w:after="0" w:line="286"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b w:val="1"/>
          <w:bCs w:val="1"/>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47" w:lineRule="exact"/>
        <w:rPr>
          <w:sz w:val="20"/>
          <w:szCs w:val="20"/>
          <w:color w:val="auto"/>
        </w:rPr>
      </w:pPr>
    </w:p>
    <w:p>
      <w:pPr>
        <w:ind w:left="120" w:right="20" w:firstLine="1432"/>
        <w:spacing w:after="0" w:line="262" w:lineRule="auto"/>
        <w:rPr>
          <w:sz w:val="20"/>
          <w:szCs w:val="20"/>
          <w:color w:val="auto"/>
        </w:rPr>
      </w:pPr>
      <w:r>
        <w:rPr>
          <w:rFonts w:ascii="Times New Roman" w:cs="Times New Roman" w:eastAsia="Times New Roman" w:hAnsi="Times New Roman"/>
          <w:sz w:val="18"/>
          <w:szCs w:val="18"/>
          <w:color w:val="auto"/>
        </w:rPr>
        <w:t xml:space="preserve">6.5.3 </w:t>
      </w:r>
      <w:r>
        <w:rPr>
          <w:rFonts w:ascii="Times New Roman" w:cs="Times New Roman" w:eastAsia="Times New Roman" w:hAnsi="Times New Roman"/>
          <w:sz w:val="18"/>
          <w:szCs w:val="18"/>
          <w:b w:val="1"/>
          <w:bCs w:val="1"/>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other Shares, provided that such Shares have a Fair Market Value on the date of surrender equal to the aggregate exercise price of the</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82"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Shares as to which such Option will be exercised and provided further that accepting such Shares will not result in any adverse accounting consequences to the Company, as the Administrator determines in its sole discretion; (d) consideration received by the Company under a cashless exercise program (whether through a broker or otherwise) implemented by the Company in connection with the Plan; (e) by net exercise; (f) such other consideration and method of payment for the issuance of Shares to the extent permitted by Applicable Laws, or (g) any combination of the foregoing methods of payment. In making its determination as to the type of consideration to accept, the Administrator will consider if acceptance of such consideration may be reasonably expected to benefit the Company.</w:t>
      </w:r>
    </w:p>
    <w:p>
      <w:pPr>
        <w:spacing w:after="0" w:line="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color w:val="auto"/>
        </w:rPr>
        <w:t>Exercise of Option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right="140" w:firstLine="1432"/>
        <w:spacing w:after="0" w:line="268" w:lineRule="auto"/>
        <w:rPr>
          <w:sz w:val="20"/>
          <w:szCs w:val="20"/>
          <w:color w:val="auto"/>
        </w:rPr>
      </w:pPr>
      <w:r>
        <w:rPr>
          <w:rFonts w:ascii="Times New Roman" w:cs="Times New Roman" w:eastAsia="Times New Roman" w:hAnsi="Times New Roman"/>
          <w:sz w:val="18"/>
          <w:szCs w:val="18"/>
          <w:color w:val="auto"/>
        </w:rPr>
        <w:t xml:space="preserve">6.6.1 </w:t>
      </w:r>
      <w:r>
        <w:rPr>
          <w:rFonts w:ascii="Times New Roman" w:cs="Times New Roman" w:eastAsia="Times New Roman" w:hAnsi="Times New Roman"/>
          <w:sz w:val="18"/>
          <w:szCs w:val="18"/>
          <w:b w:val="1"/>
          <w:bCs w:val="1"/>
          <w:color w:val="auto"/>
        </w:rPr>
        <w:t>Procedure for Exercise; Rights as a Shareholder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5" w:lineRule="exact"/>
        <w:rPr>
          <w:sz w:val="20"/>
          <w:szCs w:val="20"/>
          <w:color w:val="auto"/>
        </w:rPr>
      </w:pPr>
    </w:p>
    <w:p>
      <w:pPr>
        <w:ind w:left="120" w:right="140" w:firstLine="1432"/>
        <w:spacing w:after="0" w:line="256"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The Company will issue (or cause to be issued) such Shares promptly after the Option is exercised.</w:t>
      </w:r>
    </w:p>
    <w:p>
      <w:pPr>
        <w:spacing w:after="0" w:line="187" w:lineRule="exact"/>
        <w:rPr>
          <w:sz w:val="20"/>
          <w:szCs w:val="20"/>
          <w:color w:val="auto"/>
        </w:rPr>
      </w:pPr>
    </w:p>
    <w:p>
      <w:pPr>
        <w:ind w:left="120" w:right="240" w:firstLine="1432"/>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50" w:lineRule="exact"/>
        <w:rPr>
          <w:sz w:val="20"/>
          <w:szCs w:val="20"/>
          <w:color w:val="auto"/>
        </w:rPr>
      </w:pPr>
    </w:p>
    <w:p>
      <w:pPr>
        <w:ind w:left="12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6.6.2 </w:t>
      </w:r>
      <w:r>
        <w:rPr>
          <w:rFonts w:ascii="Times New Roman" w:cs="Times New Roman" w:eastAsia="Times New Roman" w:hAnsi="Times New Roman"/>
          <w:sz w:val="18"/>
          <w:szCs w:val="18"/>
          <w:b w:val="1"/>
          <w:bCs w:val="1"/>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by the Administrator, the Option will terminate, and the Shares covered by such Option will revert to the Plan.</w:t>
      </w:r>
    </w:p>
    <w:p>
      <w:pPr>
        <w:spacing w:after="0" w:line="77" w:lineRule="exact"/>
        <w:rPr>
          <w:sz w:val="20"/>
          <w:szCs w:val="20"/>
          <w:color w:val="auto"/>
        </w:rPr>
      </w:pPr>
    </w:p>
    <w:p>
      <w:pPr>
        <w:ind w:left="12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6.6.3 </w:t>
      </w:r>
      <w:r>
        <w:rPr>
          <w:rFonts w:ascii="Times New Roman" w:cs="Times New Roman" w:eastAsia="Times New Roman" w:hAnsi="Times New Roman"/>
          <w:sz w:val="18"/>
          <w:szCs w:val="18"/>
          <w:b w:val="1"/>
          <w:bCs w:val="1"/>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twelve (12)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herein, the Option will terminate, and the Shares covered by such Option will revert to the Plan.</w:t>
      </w:r>
    </w:p>
    <w:p>
      <w:pPr>
        <w:spacing w:after="0" w:line="75" w:lineRule="exact"/>
        <w:rPr>
          <w:sz w:val="20"/>
          <w:szCs w:val="20"/>
          <w:color w:val="auto"/>
        </w:rPr>
      </w:pPr>
    </w:p>
    <w:p>
      <w:pPr>
        <w:ind w:left="120" w:right="80" w:firstLine="1432"/>
        <w:spacing w:after="0" w:line="257" w:lineRule="auto"/>
        <w:rPr>
          <w:sz w:val="20"/>
          <w:szCs w:val="20"/>
          <w:color w:val="auto"/>
        </w:rPr>
      </w:pPr>
      <w:r>
        <w:rPr>
          <w:rFonts w:ascii="Times New Roman" w:cs="Times New Roman" w:eastAsia="Times New Roman" w:hAnsi="Times New Roman"/>
          <w:sz w:val="18"/>
          <w:szCs w:val="18"/>
          <w:color w:val="auto"/>
        </w:rPr>
        <w:t xml:space="preserve">6.6.4 </w:t>
      </w:r>
      <w:r>
        <w:rPr>
          <w:rFonts w:ascii="Times New Roman" w:cs="Times New Roman" w:eastAsia="Times New Roman" w:hAnsi="Times New Roman"/>
          <w:sz w:val="18"/>
          <w:szCs w:val="18"/>
          <w:b w:val="1"/>
          <w:bCs w:val="1"/>
          <w:color w:val="auto"/>
        </w:rPr>
        <w:t>Death of Participant</w:t>
      </w:r>
      <w:r>
        <w:rPr>
          <w:rFonts w:ascii="Times New Roman" w:cs="Times New Roman" w:eastAsia="Times New Roman" w:hAnsi="Times New Roman"/>
          <w:sz w:val="18"/>
          <w:szCs w:val="18"/>
          <w:color w:val="auto"/>
        </w:rPr>
        <w:t>. If a Participant dies while a Service Provider, the Option may be exercised within twelve (12)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accordance with the laws of descent and distribution (each, a “Legal Representative”).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7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6.6.5 </w:t>
      </w:r>
      <w:r>
        <w:rPr>
          <w:rFonts w:ascii="Times New Roman" w:cs="Times New Roman" w:eastAsia="Times New Roman" w:hAnsi="Times New Roman"/>
          <w:sz w:val="18"/>
          <w:szCs w:val="18"/>
          <w:b w:val="1"/>
          <w:bCs w:val="1"/>
          <w:color w:val="auto"/>
        </w:rPr>
        <w:t>Tolling Expiration</w:t>
      </w:r>
      <w:r>
        <w:rPr>
          <w:rFonts w:ascii="Times New Roman" w:cs="Times New Roman" w:eastAsia="Times New Roman" w:hAnsi="Times New Roman"/>
          <w:sz w:val="18"/>
          <w:szCs w:val="18"/>
          <w:color w:val="auto"/>
        </w:rPr>
        <w:t>. A Participant’s Award Agreement may also provide that:</w:t>
      </w:r>
    </w:p>
    <w:p>
      <w:pPr>
        <w:spacing w:after="0" w:line="121" w:lineRule="exact"/>
        <w:rPr>
          <w:sz w:val="20"/>
          <w:szCs w:val="20"/>
          <w:color w:val="auto"/>
        </w:rPr>
      </w:pPr>
    </w:p>
    <w:p>
      <w:pPr>
        <w:ind w:left="120" w:right="40" w:firstLine="1979"/>
        <w:spacing w:after="0" w:line="230" w:lineRule="auto"/>
        <w:tabs>
          <w:tab w:leader="none" w:pos="2347"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last date on which such exercise would result in liability under Section 16b; or</w:t>
      </w:r>
    </w:p>
    <w:p>
      <w:pPr>
        <w:spacing w:after="0" w:line="90" w:lineRule="exact"/>
        <w:rPr>
          <w:rFonts w:ascii="Times New Roman" w:cs="Times New Roman" w:eastAsia="Times New Roman" w:hAnsi="Times New Roman"/>
          <w:sz w:val="18"/>
          <w:szCs w:val="18"/>
          <w:color w:val="auto"/>
        </w:rPr>
      </w:pPr>
    </w:p>
    <w:p>
      <w:pPr>
        <w:ind w:left="120" w:firstLine="1979"/>
        <w:spacing w:after="0" w:line="272" w:lineRule="auto"/>
        <w:tabs>
          <w:tab w:leader="none" w:pos="2358"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w:t>
      </w:r>
    </w:p>
    <w:p>
      <w:pPr>
        <w:spacing w:after="0" w:line="1" w:lineRule="exact"/>
        <w:rPr>
          <w:rFonts w:ascii="Times New Roman" w:cs="Times New Roman" w:eastAsia="Times New Roman" w:hAnsi="Times New Roman"/>
          <w:sz w:val="17"/>
          <w:szCs w:val="17"/>
          <w:color w:val="auto"/>
        </w:rPr>
      </w:pPr>
    </w:p>
    <w:p>
      <w:pPr>
        <w:ind w:left="120" w:right="240" w:hanging="4"/>
        <w:spacing w:after="0" w:line="260" w:lineRule="auto"/>
        <w:tabs>
          <w:tab w:leader="none" w:pos="4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cessation of the Participant’s status as a Service Provider during which the exercise of the Option would not be in violation of such registration requirements.</w:t>
      </w:r>
    </w:p>
    <w:p>
      <w:pPr>
        <w:spacing w:after="0" w:line="177"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Appreciation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47" w:lineRule="exact"/>
        <w:rPr>
          <w:sz w:val="20"/>
          <w:szCs w:val="20"/>
          <w:color w:val="auto"/>
        </w:rPr>
      </w:pPr>
    </w:p>
    <w:p>
      <w:pPr>
        <w:ind w:left="120" w:right="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 The Administrator will have complete discretion to determine the number of Shares subject to any Award of Stock Appreciation Rights.</w:t>
      </w:r>
    </w:p>
    <w:p>
      <w:pPr>
        <w:spacing w:after="0" w:line="47" w:lineRule="exact"/>
        <w:rPr>
          <w:sz w:val="20"/>
          <w:szCs w:val="20"/>
          <w:color w:val="auto"/>
        </w:rPr>
      </w:pPr>
    </w:p>
    <w:p>
      <w:pPr>
        <w:ind w:left="120" w:right="40" w:firstLine="991"/>
        <w:spacing w:after="0" w:line="26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Exercise Price and Other Terms</w:t>
      </w:r>
      <w:r>
        <w:rPr>
          <w:rFonts w:ascii="Times New Roman" w:cs="Times New Roman" w:eastAsia="Times New Roman" w:hAnsi="Times New Roman"/>
          <w:sz w:val="18"/>
          <w:szCs w:val="18"/>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68" w:lineRule="exact"/>
        <w:rPr>
          <w:sz w:val="20"/>
          <w:szCs w:val="20"/>
          <w:color w:val="auto"/>
        </w:rPr>
      </w:pPr>
    </w:p>
    <w:p>
      <w:pPr>
        <w:ind w:left="120" w:right="4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63" w:lineRule="exact"/>
        <w:rPr>
          <w:sz w:val="20"/>
          <w:szCs w:val="20"/>
          <w:color w:val="auto"/>
        </w:rPr>
      </w:pPr>
    </w:p>
    <w:p>
      <w:pPr>
        <w:ind w:left="120" w:right="80" w:firstLine="991"/>
        <w:spacing w:after="0" w:line="268"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63" w:lineRule="exact"/>
        <w:rPr>
          <w:sz w:val="20"/>
          <w:szCs w:val="20"/>
          <w:color w:val="auto"/>
        </w:rPr>
      </w:pPr>
    </w:p>
    <w:p>
      <w:pPr>
        <w:ind w:lef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51" w:lineRule="exact"/>
        <w:rPr>
          <w:sz w:val="20"/>
          <w:szCs w:val="20"/>
          <w:color w:val="auto"/>
        </w:rPr>
      </w:pPr>
    </w:p>
    <w:p>
      <w:pPr>
        <w:ind w:left="1800" w:hanging="252"/>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117"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left="120" w:right="100" w:firstLine="1432"/>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8. Restricted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47" w:lineRule="exact"/>
        <w:rPr>
          <w:sz w:val="20"/>
          <w:szCs w:val="20"/>
          <w:color w:val="auto"/>
        </w:rPr>
      </w:pPr>
    </w:p>
    <w:p>
      <w:pPr>
        <w:ind w:left="120" w:right="60" w:firstLine="991"/>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68" w:lineRule="exact"/>
        <w:rPr>
          <w:sz w:val="20"/>
          <w:szCs w:val="20"/>
          <w:color w:val="auto"/>
        </w:rPr>
      </w:pPr>
    </w:p>
    <w:p>
      <w:pPr>
        <w:ind w:left="120" w:right="10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47" w:lineRule="exact"/>
        <w:rPr>
          <w:sz w:val="20"/>
          <w:szCs w:val="20"/>
          <w:color w:val="auto"/>
        </w:rPr>
      </w:pPr>
    </w:p>
    <w:p>
      <w:pPr>
        <w:ind w:left="120" w:right="2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47" w:lineRule="exact"/>
        <w:rPr>
          <w:sz w:val="20"/>
          <w:szCs w:val="20"/>
          <w:color w:val="auto"/>
        </w:rPr>
      </w:pPr>
    </w:p>
    <w:p>
      <w:pPr>
        <w:ind w:left="1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Removal of Restrictions</w:t>
      </w:r>
      <w:r>
        <w:rPr>
          <w:rFonts w:ascii="Times New Roman" w:cs="Times New Roman" w:eastAsia="Times New Roman" w:hAnsi="Times New Roman"/>
          <w:sz w:val="18"/>
          <w:szCs w:val="18"/>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63" w:lineRule="exact"/>
        <w:rPr>
          <w:sz w:val="20"/>
          <w:szCs w:val="20"/>
          <w:color w:val="auto"/>
        </w:rPr>
      </w:pPr>
    </w:p>
    <w:p>
      <w:pPr>
        <w:ind w:lef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47" w:lineRule="exact"/>
        <w:rPr>
          <w:sz w:val="20"/>
          <w:szCs w:val="20"/>
          <w:color w:val="auto"/>
        </w:rPr>
      </w:pPr>
    </w:p>
    <w:p>
      <w:pPr>
        <w:ind w:left="120" w:right="1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55" w:lineRule="exact"/>
        <w:rPr>
          <w:sz w:val="20"/>
          <w:szCs w:val="20"/>
          <w:color w:val="auto"/>
        </w:rPr>
      </w:pPr>
    </w:p>
    <w:p>
      <w:pPr>
        <w:ind w:left="740" w:hanging="184"/>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3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63" w:lineRule="exact"/>
        <w:rPr>
          <w:sz w:val="20"/>
          <w:szCs w:val="20"/>
          <w:color w:val="auto"/>
        </w:rPr>
      </w:pPr>
    </w:p>
    <w:p>
      <w:pPr>
        <w:ind w:left="120" w:right="280" w:firstLine="991"/>
        <w:spacing w:after="0" w:line="26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68" w:lineRule="exact"/>
        <w:rPr>
          <w:sz w:val="20"/>
          <w:szCs w:val="20"/>
          <w:color w:val="auto"/>
        </w:rPr>
      </w:pPr>
    </w:p>
    <w:p>
      <w:pPr>
        <w:ind w:left="120" w:right="160" w:firstLine="991"/>
        <w:spacing w:after="0" w:line="26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63" w:lineRule="exact"/>
        <w:rPr>
          <w:sz w:val="20"/>
          <w:szCs w:val="20"/>
          <w:color w:val="auto"/>
        </w:rPr>
      </w:pPr>
    </w:p>
    <w:p>
      <w:pPr>
        <w:ind w:left="120" w:right="60" w:firstLine="991"/>
        <w:spacing w:after="0" w:line="26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82"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820" w:hanging="264"/>
        <w:spacing w:after="0"/>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right="260" w:firstLine="991"/>
        <w:spacing w:after="0" w:line="291"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Each Performance Award will be evidenced by an Award Agreement that will specify any time period during which any performance objectives or other vesting provisions will be measured (“</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and such other terms and conditions as the Administrator determines. Each Performance Award will have an initial value that is determined by the Administrator on or before its date of grant.</w:t>
      </w:r>
    </w:p>
    <w:p>
      <w:pPr>
        <w:spacing w:after="0" w:line="45" w:lineRule="exact"/>
        <w:rPr>
          <w:sz w:val="20"/>
          <w:szCs w:val="20"/>
          <w:color w:val="auto"/>
        </w:rPr>
      </w:pPr>
    </w:p>
    <w:p>
      <w:pPr>
        <w:ind w:left="120" w:right="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Objectives or Vesting Provisions and Other Terms.</w:t>
      </w:r>
      <w:r>
        <w:rPr>
          <w:rFonts w:ascii="Times New Roman" w:cs="Times New Roman" w:eastAsia="Times New Roman" w:hAnsi="Times New Roman"/>
          <w:sz w:val="18"/>
          <w:szCs w:val="18"/>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71" w:lineRule="exact"/>
        <w:rPr>
          <w:sz w:val="20"/>
          <w:szCs w:val="20"/>
          <w:color w:val="auto"/>
        </w:rPr>
      </w:pPr>
    </w:p>
    <w:p>
      <w:pPr>
        <w:ind w:left="120" w:right="1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Earning Performance Awards</w:t>
      </w:r>
      <w:r>
        <w:rPr>
          <w:rFonts w:ascii="Times New Roman" w:cs="Times New Roman" w:eastAsia="Times New Roman" w:hAnsi="Times New Roman"/>
          <w:sz w:val="18"/>
          <w:szCs w:val="18"/>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63" w:lineRule="exact"/>
        <w:rPr>
          <w:sz w:val="20"/>
          <w:szCs w:val="20"/>
          <w:color w:val="auto"/>
        </w:rPr>
      </w:pPr>
    </w:p>
    <w:p>
      <w:pPr>
        <w:jc w:val="both"/>
        <w:ind w:left="1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63" w:lineRule="exact"/>
        <w:rPr>
          <w:sz w:val="20"/>
          <w:szCs w:val="20"/>
          <w:color w:val="auto"/>
        </w:rPr>
      </w:pPr>
    </w:p>
    <w:p>
      <w:pPr>
        <w:ind w:left="120" w:right="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Cancellation of Performance Awards</w:t>
      </w:r>
      <w:r>
        <w:rPr>
          <w:rFonts w:ascii="Times New Roman" w:cs="Times New Roman" w:eastAsia="Times New Roman" w:hAnsi="Times New Roman"/>
          <w:sz w:val="18"/>
          <w:szCs w:val="18"/>
          <w:color w:val="auto"/>
        </w:rPr>
        <w:t>. On the date set forth in the Award Agreement, all unearned or unvested Performance Awards will be forfeited to the Company, and again will be available for grant under the Plan.</w:t>
      </w:r>
    </w:p>
    <w:p>
      <w:pPr>
        <w:spacing w:after="0" w:line="155" w:lineRule="exact"/>
        <w:rPr>
          <w:sz w:val="20"/>
          <w:szCs w:val="20"/>
          <w:color w:val="auto"/>
        </w:rPr>
      </w:pPr>
    </w:p>
    <w:p>
      <w:pPr>
        <w:ind w:left="120" w:firstLine="436"/>
        <w:spacing w:after="0" w:line="259" w:lineRule="auto"/>
        <w:tabs>
          <w:tab w:leader="none" w:pos="82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Outside Director Award Limitations</w:t>
      </w:r>
      <w:r>
        <w:rPr>
          <w:rFonts w:ascii="Times New Roman" w:cs="Times New Roman" w:eastAsia="Times New Roman" w:hAnsi="Times New Roman"/>
          <w:sz w:val="18"/>
          <w:szCs w:val="18"/>
          <w:color w:val="auto"/>
        </w:rPr>
        <w:t>. No Outside Director may be granted, in any Fiscal Year, Awards (the value of which will be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grant date fair value determined in accordance with U.S. generally accepted accounting principles) and be provided any cash retainers for service as an Outside Director in amounts that, in the aggregate, exceed $500,000, provided that such amount is increased to $1,000,000 in the Fiscal Year of his or her initial service as an Outside Director. Any Awards or other compensation provided to an individual for his or her services as an Employee, or for his or her services as a Consultant other than as an Outside Director, will be excluded for purposes of this Section 11.</w:t>
      </w:r>
    </w:p>
    <w:p>
      <w:pPr>
        <w:spacing w:after="0" w:line="179" w:lineRule="exact"/>
        <w:rPr>
          <w:rFonts w:ascii="Times New Roman" w:cs="Times New Roman" w:eastAsia="Times New Roman" w:hAnsi="Times New Roman"/>
          <w:sz w:val="18"/>
          <w:szCs w:val="18"/>
          <w:color w:val="auto"/>
        </w:rPr>
      </w:pPr>
    </w:p>
    <w:p>
      <w:pPr>
        <w:ind w:left="120" w:right="20" w:firstLine="436"/>
        <w:spacing w:after="0" w:line="253" w:lineRule="auto"/>
        <w:tabs>
          <w:tab w:leader="none" w:pos="8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 and Exemption from Section 457A</w:t>
      </w:r>
      <w:r>
        <w:rPr>
          <w:rFonts w:ascii="Times New Roman" w:cs="Times New Roman" w:eastAsia="Times New Roman" w:hAnsi="Times New Roman"/>
          <w:sz w:val="18"/>
          <w:szCs w:val="18"/>
          <w:color w:val="auto"/>
        </w:rPr>
        <w:t>. Awards will be designed and operated in such a manner that they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exempt from the application of, or comply with, the requirements of Section 409A such that the grant, payment, settlement or deferral will not be subject to the additional tax or interest applicable under Section 409A, and, if applicable, to be exempt from the application of Section 457A, in each case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 or Code Section 457A and the U.S. Treasury Regulations promulgated thereunder.</w:t>
      </w:r>
    </w:p>
    <w:p>
      <w:pPr>
        <w:spacing w:after="0" w:line="189" w:lineRule="exact"/>
        <w:rPr>
          <w:rFonts w:ascii="Times New Roman" w:cs="Times New Roman" w:eastAsia="Times New Roman" w:hAnsi="Times New Roman"/>
          <w:sz w:val="18"/>
          <w:szCs w:val="18"/>
          <w:color w:val="auto"/>
        </w:rPr>
      </w:pPr>
    </w:p>
    <w:p>
      <w:pPr>
        <w:ind w:left="120" w:right="80" w:firstLine="436"/>
        <w:spacing w:after="0" w:line="268" w:lineRule="auto"/>
        <w:tabs>
          <w:tab w:leader="none" w:pos="8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Leaves of Absence/Transfer Between Locations; Part-Time Service</w:t>
      </w:r>
      <w:r>
        <w:rPr>
          <w:rFonts w:ascii="Times New Roman" w:cs="Times New Roman" w:eastAsia="Times New Roman" w:hAnsi="Times New Roman"/>
          <w:sz w:val="18"/>
          <w:szCs w:val="18"/>
          <w:color w:val="auto"/>
        </w:rPr>
        <w:t>. Unless the Administrator provides otherwise or as otherwise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Laws, vesting of Awards granted hereunder will be suspended during any unpaid leave of absence. A Participant will not cease to be an Employee in the case of (a) any leave of absence approved by the Company (or the Parent or Subsidiary of the Company employing or</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1" w:lineRule="auto"/>
        <w:rPr>
          <w:sz w:val="20"/>
          <w:szCs w:val="20"/>
          <w:color w:val="auto"/>
        </w:rPr>
      </w:pPr>
      <w:r>
        <w:rPr>
          <w:rFonts w:ascii="Times New Roman" w:cs="Times New Roman" w:eastAsia="Times New Roman" w:hAnsi="Times New Roman"/>
          <w:sz w:val="18"/>
          <w:szCs w:val="18"/>
          <w:color w:val="auto"/>
        </w:rPr>
        <w:t>engaging the Participant)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such leave, any Incentive Stock Option held by the Participant will cease to be treated as an Incentive Stock Option and will be treated for tax purposes as a Nonstatutory Stock Option. If the Administrator so provides, if as a condition to being permitted to work on a less than full-time basis, to the extent permitted by Applicable Laws, the Participant agrees that any service-based vesting of Awards granted hereunder shall be extended on a proportionate basis in connection with such transition to a less than a full-time basis, vesting shall be adjusted in accordance with such agreement. In such event, if the Administrator so provides, such vesting shall be proportionately readjusted prospectively in the event that the Participant subsequently becomes regularly scheduled to work additional hours of service.</w:t>
      </w:r>
    </w:p>
    <w:p>
      <w:pPr>
        <w:spacing w:after="0" w:line="193" w:lineRule="exact"/>
        <w:rPr>
          <w:sz w:val="20"/>
          <w:szCs w:val="20"/>
          <w:color w:val="auto"/>
        </w:rPr>
      </w:pPr>
    </w:p>
    <w:p>
      <w:pPr>
        <w:ind w:left="120" w:right="40" w:firstLine="436"/>
        <w:spacing w:after="0" w:line="259" w:lineRule="auto"/>
        <w:tabs>
          <w:tab w:leader="none" w:pos="83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Limited Transferability of Awards</w:t>
      </w:r>
      <w:r>
        <w:rPr>
          <w:rFonts w:ascii="Times New Roman" w:cs="Times New Roman" w:eastAsia="Times New Roman" w:hAnsi="Times New Roman"/>
          <w:sz w:val="18"/>
          <w:szCs w:val="18"/>
          <w:color w:val="auto"/>
        </w:rPr>
        <w:t>. Unless determined otherwise by the Administrator, Awards may not be sold, pledged, assigned,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300" w:firstLine="991"/>
        <w:spacing w:after="0" w:line="275" w:lineRule="auto"/>
        <w:rPr>
          <w:sz w:val="20"/>
          <w:szCs w:val="20"/>
          <w:color w:val="auto"/>
        </w:rPr>
      </w:pPr>
      <w:r>
        <w:rPr>
          <w:rFonts w:ascii="Times New Roman" w:cs="Times New Roman" w:eastAsia="Times New Roman" w:hAnsi="Times New Roman"/>
          <w:sz w:val="17"/>
          <w:szCs w:val="17"/>
          <w:color w:val="auto"/>
        </w:rPr>
        <w:t xml:space="preserve">15.1 </w:t>
      </w:r>
      <w:r>
        <w:rPr>
          <w:rFonts w:ascii="Times New Roman" w:cs="Times New Roman" w:eastAsia="Times New Roman" w:hAnsi="Times New Roman"/>
          <w:sz w:val="17"/>
          <w:szCs w:val="17"/>
          <w:b w:val="1"/>
          <w:bCs w:val="1"/>
          <w:color w:val="auto"/>
        </w:rPr>
        <w:t>Adjustments</w:t>
      </w:r>
      <w:r>
        <w:rPr>
          <w:rFonts w:ascii="Times New Roman" w:cs="Times New Roman" w:eastAsia="Times New Roman" w:hAnsi="Times New Roman"/>
          <w:sz w:val="17"/>
          <w:szCs w:val="17"/>
          <w:color w:val="auto"/>
        </w:rPr>
        <w:t>. In the event that any dividend or other distribution (whether in the form of cash, Shares, other securities, or other property), recapitalization, share or stock split, reverse share or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numerical Share limits in Section 3.</w:t>
      </w:r>
    </w:p>
    <w:p>
      <w:pPr>
        <w:spacing w:after="0" w:line="60" w:lineRule="exact"/>
        <w:rPr>
          <w:sz w:val="20"/>
          <w:szCs w:val="20"/>
          <w:color w:val="auto"/>
        </w:rPr>
      </w:pPr>
    </w:p>
    <w:p>
      <w:pPr>
        <w:jc w:val="both"/>
        <w:ind w:left="120" w:right="3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63"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any of the actions permitted under this Section 15.3, the Administrator will not be obligated to treat all Awards, all Awards held by a Participant, all Awards of the same type, or all portions of Awards, similarly.</w:t>
      </w:r>
    </w:p>
    <w:p>
      <w:pPr>
        <w:spacing w:after="0" w:line="16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the Award (or portion thereof) as described below, or substitute for the Award (or portion thereof) as described above,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and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87"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shares, cash, or other securities or property) received in the merger or Change in Control by holders of Ordinary Shares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ordinary shares or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Award, for each Share subject to such Award, to be solely ordinary shares or common stock of the successor corporation or its Parent equal in fair market value to the per share consideration received by holders of Ordinary Shares in the merger or Change in Control.</w:t>
      </w:r>
    </w:p>
    <w:p>
      <w:pPr>
        <w:spacing w:after="0" w:line="188"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Notwithstanding anything in this Section 15.3 to the contrary, an Award that vests, is earned or paid 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87" w:lineRule="exact"/>
        <w:rPr>
          <w:sz w:val="20"/>
          <w:szCs w:val="20"/>
          <w:color w:val="auto"/>
        </w:rPr>
      </w:pPr>
    </w:p>
    <w:p>
      <w:pPr>
        <w:ind w:left="120" w:right="200" w:firstLine="991"/>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71" w:lineRule="exact"/>
        <w:rPr>
          <w:sz w:val="20"/>
          <w:szCs w:val="20"/>
          <w:color w:val="auto"/>
        </w:rPr>
      </w:pPr>
    </w:p>
    <w:p>
      <w:pPr>
        <w:ind w:left="120" w:right="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b w:val="1"/>
          <w:bCs w:val="1"/>
          <w:color w:val="auto"/>
        </w:rPr>
        <w:t>Outside Director Awards</w:t>
      </w:r>
      <w:r>
        <w:rPr>
          <w:rFonts w:ascii="Times New Roman" w:cs="Times New Roman" w:eastAsia="Times New Roman" w:hAnsi="Times New Roman"/>
          <w:sz w:val="18"/>
          <w:szCs w:val="18"/>
          <w:color w:val="auto"/>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185" w:lineRule="exact"/>
        <w:rPr>
          <w:sz w:val="20"/>
          <w:szCs w:val="20"/>
          <w:color w:val="auto"/>
        </w:rPr>
      </w:pPr>
    </w:p>
    <w:p>
      <w:pPr>
        <w:ind w:left="820" w:hanging="264"/>
        <w:spacing w:after="0"/>
        <w:tabs>
          <w:tab w:leader="none" w:pos="8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non-U.S., and other taxes (including the Participant’s FICA obligation) required to be withheld or paid with respect to such Award (or exercise thereof).</w:t>
      </w:r>
    </w:p>
    <w:p>
      <w:pPr>
        <w:spacing w:after="0" w:line="71" w:lineRule="exact"/>
        <w:rPr>
          <w:sz w:val="20"/>
          <w:szCs w:val="20"/>
          <w:color w:val="auto"/>
        </w:rPr>
      </w:pPr>
    </w:p>
    <w:p>
      <w:pPr>
        <w:ind w:left="120"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b w:val="1"/>
          <w:bCs w:val="1"/>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95" w:lineRule="exact"/>
        <w:rPr>
          <w:sz w:val="20"/>
          <w:szCs w:val="20"/>
          <w:color w:val="auto"/>
        </w:rPr>
      </w:pPr>
    </w:p>
    <w:p>
      <w:pPr>
        <w:jc w:val="both"/>
        <w:ind w:left="120" w:right="40" w:firstLine="436"/>
        <w:spacing w:after="0" w:line="262" w:lineRule="auto"/>
        <w:tabs>
          <w:tab w:leader="none" w:pos="83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76" w:lineRule="exact"/>
        <w:rPr>
          <w:rFonts w:ascii="Times New Roman" w:cs="Times New Roman" w:eastAsia="Times New Roman" w:hAnsi="Times New Roman"/>
          <w:sz w:val="18"/>
          <w:szCs w:val="18"/>
          <w:color w:val="auto"/>
        </w:rPr>
      </w:pPr>
    </w:p>
    <w:p>
      <w:pPr>
        <w:ind w:left="120" w:right="100" w:firstLine="436"/>
        <w:spacing w:after="0" w:line="268" w:lineRule="auto"/>
        <w:tabs>
          <w:tab w:leader="none" w:pos="83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Award, or such other later date as is determined by the Administrator. Notice of the determination will be provided to each Participant within a reasonable time after the date of such grant.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20" w:firstLine="436"/>
        <w:spacing w:after="0" w:line="268" w:lineRule="auto"/>
        <w:tabs>
          <w:tab w:leader="none" w:pos="83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Subject to Section 23 of the Plan, the Plan will become effective upon the date on which the Company’s shareholders approve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Plan will continue in effect for a term of ten (10) years from the date adopted by the Board, unless terminated earlier under Section 20 of the Plan.</w:t>
      </w:r>
    </w:p>
    <w:p>
      <w:pPr>
        <w:spacing w:after="0" w:line="170"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and Termination of the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b w:val="1"/>
          <w:bCs w:val="1"/>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117" w:lineRule="exact"/>
        <w:rPr>
          <w:sz w:val="20"/>
          <w:szCs w:val="20"/>
          <w:color w:val="auto"/>
        </w:rPr>
      </w:pPr>
    </w:p>
    <w:p>
      <w:pPr>
        <w:ind w:lef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The Company will obtain shareholder approval of any Plan amendment to the extent necessary and desirable to comply with Applicable Laws.</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b w:val="1"/>
          <w:bCs w:val="1"/>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rights of any Participant, unless (i) mutually agreed otherwise between the Participant and the Administrator, which agreement must be in writing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signed by the Participant and the Company, (ii) as the Administrator deems necessary or appropriate to clarify the manner of exemption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409A or compliance with any requirements necessary to avoid the imposition of additional tax or interest under Code Section 409A(a)(1)(B), or</w:t>
      </w:r>
    </w:p>
    <w:p>
      <w:pPr>
        <w:spacing w:after="0" w:line="9" w:lineRule="exact"/>
        <w:rPr>
          <w:sz w:val="20"/>
          <w:szCs w:val="20"/>
          <w:color w:val="auto"/>
        </w:rPr>
      </w:pPr>
    </w:p>
    <w:p>
      <w:pPr>
        <w:ind w:left="120" w:right="540" w:hanging="4"/>
        <w:spacing w:after="0" w:line="260" w:lineRule="auto"/>
        <w:tabs>
          <w:tab w:leader="none" w:pos="4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other Applicable Laws. Termination of the Plan will not affect the Administrator’s ability to exercise the powers granted to it hereunder with respect to Awards granted under the Plan prior to the date of such termination.</w:t>
      </w:r>
    </w:p>
    <w:p>
      <w:pPr>
        <w:spacing w:after="0" w:line="177" w:lineRule="exact"/>
        <w:rPr>
          <w:sz w:val="20"/>
          <w:szCs w:val="20"/>
          <w:color w:val="auto"/>
        </w:rPr>
      </w:pPr>
    </w:p>
    <w:p>
      <w:pPr>
        <w:ind w:left="820" w:hanging="264"/>
        <w:spacing w:after="0"/>
        <w:tabs>
          <w:tab w:leader="none" w:pos="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Upon Issuance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Legal Compliance</w:t>
      </w:r>
      <w:r>
        <w:rPr>
          <w:rFonts w:ascii="Times New Roman" w:cs="Times New Roman" w:eastAsia="Times New Roman" w:hAnsi="Times New Roman"/>
          <w:sz w:val="18"/>
          <w:szCs w:val="18"/>
          <w:color w:val="auto"/>
        </w:rPr>
        <w:t>. The Company will make good faith efforts to comply with all Applicable Laws related to the issuance of Shares. Shares will not be issued pursuant to an Award, including without limitation upon exercise or vesting thereof, as applicable, unless the issuance and delivery of such Shares and exercise or vesting of the Award, as applicable, will comply with Applicable Laws. If required by the Administrator, issuance will be further subject to the approval of counsel for the Company with respect to such compliance. If the Company determines it to be impossible or impractical to obtain authority from any regulatory body having jurisdiction or to complete or comply with the requirements of any Applicable Laws, registration or other qualification of the Shares under any state, federal or foreign law or under the rules and regulations of the U.S. Securities and Exchange Commission, the stock or share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regarding the failure to issue or sell such Shares as to which such authority, registration, qualification or rule compliance was not obtained and the Administrator reserves the authority, without the consent of a Participant, to terminate or cancel Awards with or without consideration in such a situation.</w:t>
      </w:r>
    </w:p>
    <w:p>
      <w:pPr>
        <w:spacing w:after="0" w:line="74" w:lineRule="exact"/>
        <w:rPr>
          <w:sz w:val="20"/>
          <w:szCs w:val="20"/>
          <w:color w:val="auto"/>
        </w:rPr>
      </w:pPr>
    </w:p>
    <w:p>
      <w:pPr>
        <w:ind w:left="120" w:right="4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63" w:lineRule="exact"/>
        <w:rPr>
          <w:sz w:val="20"/>
          <w:szCs w:val="20"/>
          <w:color w:val="auto"/>
        </w:rPr>
      </w:pPr>
    </w:p>
    <w:p>
      <w:pPr>
        <w:jc w:val="both"/>
        <w:ind w:left="1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color w:val="auto"/>
        </w:rPr>
        <w:t>Failure to Accept Award</w:t>
      </w:r>
      <w:r>
        <w:rPr>
          <w:rFonts w:ascii="Times New Roman" w:cs="Times New Roman" w:eastAsia="Times New Roman" w:hAnsi="Times New Roman"/>
          <w:sz w:val="18"/>
          <w:szCs w:val="18"/>
          <w:color w:val="auto"/>
        </w:rPr>
        <w:t>. If a Participant has not accepted an Award to the extent such acceptance has been requested or required by the Company or has not taken all administrative and other steps (e.g., setting up an account with a broker designated by the Company) necessary for the Company to issue Shares upon the vesting, exercise, or settlement of the Award prior to the first date the Shares subject to such Award are scheduled to vest, then the portion of the Award scheduled to vest on such date will be cancelled on such date and such Shares subject to the Award immediately will revert to the Plan for no additional consideration unless otherwise provided by the Administrator.</w:t>
      </w:r>
    </w:p>
    <w:p>
      <w:pPr>
        <w:spacing w:after="0" w:line="179" w:lineRule="exact"/>
        <w:rPr>
          <w:sz w:val="20"/>
          <w:szCs w:val="20"/>
          <w:color w:val="auto"/>
        </w:rPr>
      </w:pPr>
    </w:p>
    <w:p>
      <w:pPr>
        <w:jc w:val="both"/>
        <w:ind w:left="120" w:right="60" w:firstLine="436"/>
        <w:spacing w:after="0" w:line="268" w:lineRule="auto"/>
        <w:tabs>
          <w:tab w:leader="none" w:pos="8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comply with the requirements of any registration or other qualification of the Shares under any U.S. state or federal law or non-U.S. law or under the rules and regulations of the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82"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Securities and Exchange Commission, the stock or share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76" w:lineRule="exact"/>
        <w:rPr>
          <w:sz w:val="20"/>
          <w:szCs w:val="20"/>
          <w:color w:val="auto"/>
        </w:rPr>
      </w:pPr>
    </w:p>
    <w:p>
      <w:pPr>
        <w:ind w:left="120" w:right="40" w:firstLine="436"/>
        <w:spacing w:after="0" w:line="286" w:lineRule="auto"/>
        <w:tabs>
          <w:tab w:leader="none" w:pos="83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The Plan will be subject to approval by the shareholders of the Company within twelve (12) months after the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adopted by the Board. Such shareholder approval will be obtained in the manner and to the degree required under Applicable Laws.</w:t>
      </w:r>
    </w:p>
    <w:p>
      <w:pPr>
        <w:spacing w:after="0" w:line="154"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 Events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24.1 In the event that the Company is required to restate its audited financial statements due to material noncompliance with any financial reporting requirement under the securities laws, each current or former executive officer Participant shall be required to immediately repay the Company any compensation they received pursuant to Awards hereunder during the three-year period preceding the date upon which the Company is required to prepare the restatement that is in excess of what would have been paid to the executive officer Participant under the restated financial statement, in accordance with Section 10D of the Exchange Act and any rules promulgated thereunder. Any amount required to be repaid hereunder shall be determined by the Administrator in its sole discretion, unless otherwise required by Applicable Laws, and shall be binding on all current and former executive officer Participants.</w:t>
      </w:r>
    </w:p>
    <w:p>
      <w:pPr>
        <w:spacing w:after="0" w:line="81"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24.2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w:t>
      </w:r>
    </w:p>
    <w:p>
      <w:pPr>
        <w:spacing w:after="0" w:line="79"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24.3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215265</wp:posOffset>
            </wp:positionV>
            <wp:extent cx="6686550" cy="8649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86550" cy="864933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215265</wp:posOffset>
            </wp:positionV>
            <wp:extent cx="6686550" cy="8649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86550" cy="864933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1)"/>
      <w:numFmt w:val="decimal"/>
      <w:start w:val="1"/>
    </w:lvl>
  </w:abstractNum>
  <w:abstractNum w:abstractNumId="13">
    <w:nsid w:val="579478FE"/>
    <w:multiLevelType w:val="hybridMultilevel"/>
    <w:lvl w:ilvl="0">
      <w:lvlJc w:val="left"/>
      <w:lvlText w:val="(%1)"/>
      <w:numFmt w:val="decimal"/>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1)"/>
      <w:numFmt w:val="decimal"/>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1"/>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lvl w:ilvl="1">
      <w:lvlJc w:val="left"/>
      <w:lvlText w:val="•"/>
      <w:numFmt w:val="bullet"/>
      <w:start w:val="1"/>
    </w:lvl>
  </w:abstractNum>
  <w:abstractNum w:abstractNumId="26">
    <w:nsid w:val="275AC794"/>
    <w:multiLevelType w:val="hybridMultilevel"/>
    <w:lvl w:ilvl="0">
      <w:lvlJc w:val="left"/>
      <w:lvlText w:val="•"/>
      <w:numFmt w:val="bullet"/>
      <w:start w:val="1"/>
    </w:lvl>
    <w:lvl w:ilvl="1">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2"/>
      <w:numFmt w:val="bullet"/>
      <w:start w:val="1"/>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1)"/>
      <w:numFmt w:val="decimal"/>
      <w:start w:val="2"/>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1)"/>
      <w:numFmt w:val="decimal"/>
      <w:start w:val="2"/>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1)"/>
      <w:numFmt w:val="decimal"/>
      <w:start w:val="5"/>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1)"/>
      <w:numFmt w:val="lowerRoman"/>
      <w:start w:val="10"/>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1)"/>
      <w:numFmt w:val="decimal"/>
      <w:start w:val="3"/>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decimal"/>
      <w:start w:val="3"/>
    </w:lvl>
  </w:abstractNum>
  <w:abstractNum w:abstractNumId="49">
    <w:nsid w:val="1381823A"/>
    <w:multiLevelType w:val="hybridMultilevel"/>
    <w:lvl w:ilvl="0">
      <w:lvlJc w:val="left"/>
      <w:lvlText w:val="(%1)"/>
      <w:numFmt w:val="decimal"/>
      <w:start w:val="5"/>
    </w:lvl>
  </w:abstractNum>
  <w:abstractNum w:abstractNumId="50">
    <w:nsid w:val="5DB70AE5"/>
    <w:multiLevelType w:val="hybridMultilevel"/>
    <w:lvl w:ilvl="0">
      <w:lvlJc w:val="left"/>
      <w:lvlText w:val="(%1)"/>
      <w:numFmt w:val="lowerRoman"/>
      <w:start w:val="1"/>
    </w:lvl>
  </w:abstractNum>
  <w:abstractNum w:abstractNumId="51">
    <w:nsid w:val="100F8FCA"/>
    <w:multiLevelType w:val="hybridMultilevel"/>
    <w:lvl w:ilvl="0">
      <w:lvlJc w:val="left"/>
      <w:lvlText w:val="(%1)"/>
      <w:numFmt w:val="decimal"/>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5"/>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1)"/>
      <w:numFmt w:val="decimal"/>
      <w:start w:val="1"/>
    </w:lvl>
  </w:abstractNum>
  <w:abstractNum w:abstractNumId="59">
    <w:nsid w:val="168E121F"/>
    <w:multiLevelType w:val="hybridMultilevel"/>
    <w:lvl w:ilvl="0">
      <w:lvlJc w:val="left"/>
      <w:lvlText w:val="(%1)"/>
      <w:numFmt w:val="decimal"/>
      <w:start w:val="1"/>
    </w:lvl>
  </w:abstractNum>
  <w:abstractNum w:abstractNumId="60">
    <w:nsid w:val="1EBA5D23"/>
    <w:multiLevelType w:val="hybridMultilevel"/>
    <w:lvl w:ilvl="0">
      <w:lvlJc w:val="left"/>
      <w:lvlText w:val="%1."/>
      <w:numFmt w:val="decimal"/>
      <w:start w:val="1"/>
    </w:lvl>
    <w:lvl w:ilvl="1">
      <w:lvlJc w:val="left"/>
      <w:lvlText w:val="•"/>
      <w:numFmt w:val="bullet"/>
      <w:start w:val="1"/>
    </w:lvl>
  </w:abstractNum>
  <w:abstractNum w:abstractNumId="61">
    <w:nsid w:val="661E3F1E"/>
    <w:multiLevelType w:val="hybridMultilevel"/>
    <w:lvl w:ilvl="0">
      <w:lvlJc w:val="left"/>
      <w:lvlText w:val="%1"/>
      <w:numFmt w:val="lowerLetter"/>
      <w:start w:val="1"/>
    </w:lvl>
    <w:lvl w:ilvl="1">
      <w:lvlJc w:val="left"/>
      <w:lvlText w:val="(%2)"/>
      <w:numFmt w:val="lowerLetter"/>
      <w:start w:val="1"/>
    </w:lvl>
  </w:abstractNum>
  <w:abstractNum w:abstractNumId="62">
    <w:nsid w:val="5DC79EA8"/>
    <w:multiLevelType w:val="hybridMultilevel"/>
    <w:lvl w:ilvl="0">
      <w:lvlJc w:val="left"/>
      <w:lvlText w:val="(%1)"/>
      <w:numFmt w:val="lowerLetter"/>
      <w:start w:val="2"/>
    </w:lvl>
    <w:lvl w:ilvl="1">
      <w:lvlJc w:val="left"/>
      <w:lvlText w:val="%2"/>
      <w:numFmt w:val="lowerLetter"/>
      <w:start w:val="1"/>
    </w:lvl>
  </w:abstractNum>
  <w:abstractNum w:abstractNumId="63">
    <w:nsid w:val="540A471C"/>
    <w:multiLevelType w:val="hybridMultilevel"/>
    <w:lvl w:ilvl="0">
      <w:lvlJc w:val="left"/>
      <w:lvlText w:val="(%1)"/>
      <w:numFmt w:val="lowerLetter"/>
      <w:start w:val="3"/>
    </w:lvl>
  </w:abstractNum>
  <w:abstractNum w:abstractNumId="64">
    <w:nsid w:val="7BD3EE7B"/>
    <w:multiLevelType w:val="hybridMultilevel"/>
    <w:lvl w:ilvl="0">
      <w:lvlJc w:val="left"/>
      <w:lvlText w:val="(%1)"/>
      <w:numFmt w:val="lowerLetter"/>
      <w:start w:val="2"/>
    </w:lvl>
  </w:abstractNum>
  <w:abstractNum w:abstractNumId="65">
    <w:nsid w:val="51D9C564"/>
    <w:multiLevelType w:val="hybridMultilevel"/>
    <w:lvl w:ilvl="0">
      <w:lvlJc w:val="left"/>
      <w:lvlText w:val="(%1)"/>
      <w:numFmt w:val="lowerLetter"/>
      <w:start w:val="1"/>
    </w:lvl>
  </w:abstractNum>
  <w:abstractNum w:abstractNumId="66">
    <w:nsid w:val="613EFDC5"/>
    <w:multiLevelType w:val="hybridMultilevel"/>
    <w:lvl w:ilvl="0">
      <w:lvlJc w:val="left"/>
      <w:lvlText w:val="%1."/>
      <w:numFmt w:val="decimal"/>
      <w:start w:val="3"/>
    </w:lvl>
  </w:abstractNum>
  <w:abstractNum w:abstractNumId="67">
    <w:nsid w:val="BF72B14"/>
    <w:multiLevelType w:val="hybridMultilevel"/>
    <w:lvl w:ilvl="0">
      <w:lvlJc w:val="left"/>
      <w:lvlText w:val="%1."/>
      <w:numFmt w:val="decimal"/>
      <w:start w:val="4"/>
    </w:lvl>
  </w:abstractNum>
  <w:abstractNum w:abstractNumId="68">
    <w:nsid w:val="11447B73"/>
    <w:multiLevelType w:val="hybridMultilevel"/>
    <w:lvl w:ilvl="0">
      <w:lvlJc w:val="left"/>
      <w:lvlText w:val="(%1)"/>
      <w:numFmt w:val="lowerLetter"/>
      <w:start w:val="1"/>
    </w:lvl>
  </w:abstractNum>
  <w:abstractNum w:abstractNumId="69">
    <w:nsid w:val="42963E5A"/>
    <w:multiLevelType w:val="hybridMultilevel"/>
    <w:lvl w:ilvl="0">
      <w:lvlJc w:val="left"/>
      <w:lvlText w:val="(%1)"/>
      <w:numFmt w:val="lowerLetter"/>
      <w:start w:val="6"/>
    </w:lvl>
  </w:abstractNum>
  <w:abstractNum w:abstractNumId="70">
    <w:nsid w:val="A0382C5"/>
    <w:multiLevelType w:val="hybridMultilevel"/>
    <w:lvl w:ilvl="0">
      <w:lvlJc w:val="left"/>
      <w:lvlText w:val="%1."/>
      <w:numFmt w:val="decimal"/>
      <w:start w:val="5"/>
    </w:lvl>
  </w:abstractNum>
  <w:abstractNum w:abstractNumId="71">
    <w:nsid w:val="8F2B1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2">
    <w:nsid w:val="1A32234B"/>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abstractNum>
  <w:abstractNum w:abstractNumId="73">
    <w:nsid w:val="3B0FD379"/>
    <w:multiLevelType w:val="hybridMultilevel"/>
    <w:lvl w:ilvl="0">
      <w:lvlJc w:val="left"/>
      <w:lvlText w:val="(%1)"/>
      <w:numFmt w:val="lowerLetter"/>
      <w:start w:val="1"/>
    </w:lvl>
  </w:abstractNum>
  <w:abstractNum w:abstractNumId="74">
    <w:nsid w:val="68EB2F63"/>
    <w:multiLevelType w:val="hybridMultilevel"/>
    <w:lvl w:ilvl="0">
      <w:lvlJc w:val="left"/>
      <w:lvlText w:val="%1."/>
      <w:numFmt w:val="decimal"/>
      <w:start w:val="9"/>
    </w:lvl>
  </w:abstractNum>
  <w:abstractNum w:abstractNumId="75">
    <w:nsid w:val="4962813B"/>
    <w:multiLevelType w:val="hybridMultilevel"/>
    <w:lvl w:ilvl="0">
      <w:lvlJc w:val="left"/>
      <w:lvlText w:val="%1."/>
      <w:numFmt w:val="decimal"/>
      <w:start w:val="10"/>
    </w:lvl>
  </w:abstractNum>
  <w:abstractNum w:abstractNumId="76">
    <w:nsid w:val="60B6DF70"/>
    <w:multiLevelType w:val="hybridMultilevel"/>
    <w:lvl w:ilvl="0">
      <w:lvlJc w:val="left"/>
      <w:lvlText w:val="%1."/>
      <w:numFmt w:val="decimal"/>
      <w:start w:val="11"/>
    </w:lvl>
  </w:abstractNum>
  <w:abstractNum w:abstractNumId="77">
    <w:nsid w:val="6A5EE64"/>
    <w:multiLevelType w:val="hybridMultilevel"/>
    <w:lvl w:ilvl="0">
      <w:lvlJc w:val="left"/>
      <w:lvlText w:val="%1."/>
      <w:numFmt w:val="decimal"/>
      <w:start w:val="14"/>
    </w:lvl>
  </w:abstractNum>
  <w:abstractNum w:abstractNumId="78">
    <w:nsid w:val="14330624"/>
    <w:multiLevelType w:val="hybridMultilevel"/>
    <w:lvl w:ilvl="0">
      <w:lvlJc w:val="left"/>
      <w:lvlText w:val="%1."/>
      <w:numFmt w:val="decimal"/>
      <w:start w:val="16"/>
    </w:lvl>
  </w:abstractNum>
  <w:abstractNum w:abstractNumId="79">
    <w:nsid w:val="7FFFCA11"/>
    <w:multiLevelType w:val="hybridMultilevel"/>
    <w:lvl w:ilvl="0">
      <w:lvlJc w:val="left"/>
      <w:lvlText w:val="%1."/>
      <w:numFmt w:val="decimal"/>
      <w:start w:val="17"/>
    </w:lvl>
  </w:abstractNum>
  <w:abstractNum w:abstractNumId="80">
    <w:nsid w:val="1A27709E"/>
    <w:multiLevelType w:val="hybridMultilevel"/>
    <w:lvl w:ilvl="0">
      <w:lvlJc w:val="left"/>
      <w:lvlText w:val="%1."/>
      <w:numFmt w:val="decimal"/>
      <w:start w:val="19"/>
    </w:lvl>
  </w:abstractNum>
  <w:abstractNum w:abstractNumId="81">
    <w:nsid w:val="71EA1109"/>
    <w:multiLevelType w:val="hybridMultilevel"/>
    <w:lvl w:ilvl="0">
      <w:lvlJc w:val="left"/>
      <w:lvlText w:val="(%1)"/>
      <w:numFmt w:val="lowerRoman"/>
      <w:start w:val="3"/>
    </w:lvl>
  </w:abstractNum>
  <w:abstractNum w:abstractNumId="82">
    <w:nsid w:val="100F59DC"/>
    <w:multiLevelType w:val="hybridMultilevel"/>
    <w:lvl w:ilvl="0">
      <w:lvlJc w:val="left"/>
      <w:lvlText w:val="%1."/>
      <w:numFmt w:val="decimal"/>
      <w:start w:val="21"/>
    </w:lvl>
  </w:abstractNum>
  <w:abstractNum w:abstractNumId="83">
    <w:nsid w:val="7FB7E0AA"/>
    <w:multiLevelType w:val="hybridMultilevel"/>
    <w:lvl w:ilvl="0">
      <w:lvlJc w:val="left"/>
      <w:lvlText w:val="%1."/>
      <w:numFmt w:val="decimal"/>
      <w:start w:val="22"/>
    </w:lvl>
  </w:abstractNum>
  <w:abstractNum w:abstractNumId="84">
    <w:nsid w:val="6EB5BD4"/>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2024-05-03T15:55:15Z</dcterms:created>
  <dcterms:modified xsi:type="dcterms:W3CDTF">2024-05-03T15:55:15Z</dcterms:modified>
</cp:coreProperties>
</file>