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6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April 30, 2019</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3976370</wp:posOffset>
            </wp:positionH>
            <wp:positionV relativeFrom="paragraph">
              <wp:posOffset>-7620</wp:posOffset>
            </wp:positionV>
            <wp:extent cx="809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09625" cy="8890"/>
                    </a:xfrm>
                    <a:prstGeom prst="rect">
                      <a:avLst/>
                    </a:prstGeom>
                    <a:noFill/>
                  </pic:spPr>
                </pic:pic>
              </a:graphicData>
            </a:graphic>
          </wp:anchor>
        </w:drawing>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001-35667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AMBARELLA,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3860" w:type="dxa"/>
            <w:vAlign w:val="bottom"/>
            <w:gridSpan w:val="2"/>
          </w:tcPr>
          <w:p>
            <w:pPr>
              <w:jc w:val="center"/>
              <w:ind w:left="1817"/>
              <w:spacing w:after="0"/>
              <w:rPr>
                <w:sz w:val="20"/>
                <w:szCs w:val="20"/>
                <w:color w:val="auto"/>
              </w:rPr>
            </w:pPr>
            <w:r>
              <w:rPr>
                <w:rFonts w:ascii="Arial" w:cs="Arial" w:eastAsia="Arial" w:hAnsi="Arial"/>
                <w:sz w:val="18"/>
                <w:szCs w:val="18"/>
                <w:b w:val="1"/>
                <w:bCs w:val="1"/>
                <w:color w:val="auto"/>
                <w:w w:val="90"/>
              </w:rPr>
              <w:t>Cayman Islands</w:t>
            </w:r>
          </w:p>
        </w:tc>
        <w:tc>
          <w:tcPr>
            <w:tcW w:w="1240" w:type="dxa"/>
            <w:vAlign w:val="bottom"/>
          </w:tcPr>
          <w:p>
            <w:pPr>
              <w:spacing w:after="0"/>
              <w:rPr>
                <w:sz w:val="18"/>
                <w:szCs w:val="18"/>
                <w:color w:val="auto"/>
              </w:rPr>
            </w:pPr>
          </w:p>
        </w:tc>
        <w:tc>
          <w:tcPr>
            <w:tcW w:w="41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98-0459628</w:t>
            </w:r>
          </w:p>
        </w:tc>
      </w:tr>
      <w:tr>
        <w:trPr>
          <w:trHeight w:val="149"/>
        </w:trPr>
        <w:tc>
          <w:tcPr>
            <w:tcW w:w="3860" w:type="dxa"/>
            <w:vAlign w:val="bottom"/>
            <w:gridSpan w:val="2"/>
          </w:tcPr>
          <w:p>
            <w:pPr>
              <w:jc w:val="center"/>
              <w:ind w:left="181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360" w:type="dxa"/>
            <w:vAlign w:val="bottom"/>
            <w:gridSpan w:val="2"/>
          </w:tcPr>
          <w:p>
            <w:pPr>
              <w:jc w:val="center"/>
              <w:ind w:left="116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60" w:type="dxa"/>
            <w:vAlign w:val="bottom"/>
            <w:gridSpan w:val="2"/>
          </w:tcPr>
          <w:p>
            <w:pPr>
              <w:jc w:val="center"/>
              <w:ind w:left="1817"/>
              <w:spacing w:after="0"/>
              <w:rPr>
                <w:sz w:val="20"/>
                <w:szCs w:val="20"/>
                <w:color w:val="auto"/>
              </w:rPr>
            </w:pPr>
            <w:r>
              <w:rPr>
                <w:rFonts w:ascii="Arial" w:cs="Arial" w:eastAsia="Arial" w:hAnsi="Arial"/>
                <w:sz w:val="14"/>
                <w:szCs w:val="14"/>
                <w:b w:val="1"/>
                <w:bCs w:val="1"/>
                <w:color w:val="auto"/>
                <w:w w:val="94"/>
              </w:rPr>
              <w:t>incorporation or organization)</w:t>
            </w: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60" w:type="dxa"/>
            <w:vAlign w:val="bottom"/>
            <w:gridSpan w:val="2"/>
          </w:tcPr>
          <w:p>
            <w:pPr>
              <w:jc w:val="center"/>
              <w:ind w:left="1168"/>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3860" w:type="dxa"/>
            <w:vAlign w:val="bottom"/>
            <w:gridSpan w:val="2"/>
          </w:tcPr>
          <w:p>
            <w:pPr>
              <w:jc w:val="center"/>
              <w:ind w:left="1837"/>
              <w:spacing w:after="0"/>
              <w:rPr>
                <w:sz w:val="20"/>
                <w:szCs w:val="20"/>
                <w:color w:val="auto"/>
              </w:rPr>
            </w:pPr>
            <w:r>
              <w:rPr>
                <w:rFonts w:ascii="Arial" w:cs="Arial" w:eastAsia="Arial" w:hAnsi="Arial"/>
                <w:sz w:val="18"/>
                <w:szCs w:val="18"/>
                <w:b w:val="1"/>
                <w:bCs w:val="1"/>
                <w:color w:val="auto"/>
                <w:w w:val="89"/>
              </w:rPr>
              <w:t>3101 Jay Street</w:t>
            </w: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2"/>
        </w:trPr>
        <w:tc>
          <w:tcPr>
            <w:tcW w:w="3860" w:type="dxa"/>
            <w:vAlign w:val="bottom"/>
            <w:gridSpan w:val="2"/>
          </w:tcPr>
          <w:p>
            <w:pPr>
              <w:jc w:val="center"/>
              <w:ind w:left="1817"/>
              <w:spacing w:after="0"/>
              <w:rPr>
                <w:sz w:val="20"/>
                <w:szCs w:val="20"/>
                <w:color w:val="auto"/>
              </w:rPr>
            </w:pPr>
            <w:r>
              <w:rPr>
                <w:rFonts w:ascii="Arial" w:cs="Arial" w:eastAsia="Arial" w:hAnsi="Arial"/>
                <w:sz w:val="18"/>
                <w:szCs w:val="18"/>
                <w:b w:val="1"/>
                <w:bCs w:val="1"/>
                <w:color w:val="auto"/>
                <w:w w:val="93"/>
              </w:rPr>
              <w:t>Santa Clara, California</w:t>
            </w:r>
          </w:p>
        </w:tc>
        <w:tc>
          <w:tcPr>
            <w:tcW w:w="1240" w:type="dxa"/>
            <w:vAlign w:val="bottom"/>
          </w:tcPr>
          <w:p>
            <w:pPr>
              <w:spacing w:after="0"/>
              <w:rPr>
                <w:sz w:val="18"/>
                <w:szCs w:val="18"/>
                <w:color w:val="auto"/>
              </w:rPr>
            </w:pPr>
          </w:p>
        </w:tc>
        <w:tc>
          <w:tcPr>
            <w:tcW w:w="412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95054</w:t>
            </w:r>
          </w:p>
        </w:tc>
      </w:tr>
      <w:tr>
        <w:trPr>
          <w:trHeight w:val="186"/>
        </w:trPr>
        <w:tc>
          <w:tcPr>
            <w:tcW w:w="5100" w:type="dxa"/>
            <w:vAlign w:val="bottom"/>
            <w:gridSpan w:val="3"/>
          </w:tcPr>
          <w:p>
            <w:pPr>
              <w:jc w:val="center"/>
              <w:ind w:left="59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60" w:type="dxa"/>
            <w:vAlign w:val="bottom"/>
            <w:gridSpan w:val="2"/>
          </w:tcPr>
          <w:p>
            <w:pPr>
              <w:jc w:val="center"/>
              <w:ind w:left="1188"/>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3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w w:val="94"/>
              </w:rPr>
              <w:t>(408) 734-8888</w:t>
            </w: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86"/>
        </w:trPr>
        <w:tc>
          <w:tcPr>
            <w:tcW w:w="3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360" w:type="dxa"/>
            <w:vAlign w:val="bottom"/>
            <w:gridSpan w:val="5"/>
          </w:tcPr>
          <w:p>
            <w:pPr>
              <w:jc w:val="center"/>
              <w:ind w:right="166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27"/>
        </w:trPr>
        <w:tc>
          <w:tcPr>
            <w:tcW w:w="34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260" w:type="dxa"/>
            <w:vAlign w:val="bottom"/>
            <w:tcBorders>
              <w:bottom w:val="single" w:sz="8" w:color="auto"/>
            </w:tcBorders>
            <w:gridSpan w:val="2"/>
          </w:tcPr>
          <w:p>
            <w:pPr>
              <w:spacing w:after="0"/>
              <w:rPr>
                <w:sz w:val="11"/>
                <w:szCs w:val="11"/>
                <w:color w:val="auto"/>
              </w:rPr>
            </w:pPr>
          </w:p>
        </w:tc>
        <w:tc>
          <w:tcPr>
            <w:tcW w:w="440" w:type="dxa"/>
            <w:vAlign w:val="bottom"/>
          </w:tcPr>
          <w:p>
            <w:pPr>
              <w:spacing w:after="0"/>
              <w:rPr>
                <w:sz w:val="11"/>
                <w:szCs w:val="11"/>
                <w:color w:val="auto"/>
              </w:rPr>
            </w:pPr>
          </w:p>
        </w:tc>
      </w:tr>
      <w:tr>
        <w:trPr>
          <w:trHeight w:val="324"/>
        </w:trPr>
        <w:tc>
          <w:tcPr>
            <w:tcW w:w="3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420" w:type="dxa"/>
            <w:vAlign w:val="bottom"/>
            <w:tcBorders>
              <w:bottom w:val="single" w:sz="8" w:color="auto"/>
              <w:right w:val="single" w:sz="8" w:color="auto"/>
            </w:tcBorders>
          </w:tcPr>
          <w:p>
            <w:pPr>
              <w:spacing w:after="0"/>
              <w:rPr>
                <w:sz w:val="24"/>
                <w:szCs w:val="24"/>
                <w:color w:val="auto"/>
              </w:rPr>
            </w:pPr>
          </w:p>
        </w:tc>
        <w:tc>
          <w:tcPr>
            <w:tcW w:w="32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440" w:type="dxa"/>
            <w:vAlign w:val="bottom"/>
          </w:tcPr>
          <w:p>
            <w:pPr>
              <w:spacing w:after="0"/>
              <w:rPr>
                <w:sz w:val="24"/>
                <w:szCs w:val="24"/>
                <w:color w:val="auto"/>
              </w:rPr>
            </w:pPr>
          </w:p>
        </w:tc>
      </w:tr>
      <w:tr>
        <w:trPr>
          <w:trHeight w:val="318"/>
        </w:trPr>
        <w:tc>
          <w:tcPr>
            <w:tcW w:w="3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Ordinary Shares, $0.00045 Par Value Per Share</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AMBA</w:t>
            </w:r>
          </w:p>
        </w:tc>
        <w:tc>
          <w:tcPr>
            <w:tcW w:w="420" w:type="dxa"/>
            <w:vAlign w:val="bottom"/>
            <w:tcBorders>
              <w:bottom w:val="single" w:sz="8" w:color="auto"/>
              <w:right w:val="single" w:sz="8" w:color="auto"/>
            </w:tcBorders>
          </w:tcPr>
          <w:p>
            <w:pPr>
              <w:spacing w:after="0"/>
              <w:rPr>
                <w:sz w:val="24"/>
                <w:szCs w:val="24"/>
                <w:color w:val="auto"/>
              </w:rPr>
            </w:pPr>
          </w:p>
        </w:tc>
        <w:tc>
          <w:tcPr>
            <w:tcW w:w="32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The Nasdaq Global Market</w:t>
            </w:r>
          </w:p>
        </w:tc>
        <w:tc>
          <w:tcPr>
            <w:tcW w:w="440" w:type="dxa"/>
            <w:vAlign w:val="bottom"/>
          </w:tcPr>
          <w:p>
            <w:pPr>
              <w:spacing w:after="0"/>
              <w:rPr>
                <w:sz w:val="24"/>
                <w:szCs w:val="24"/>
                <w:color w:val="auto"/>
              </w:rPr>
            </w:pPr>
          </w:p>
        </w:tc>
      </w:tr>
    </w:tbl>
    <w:p>
      <w:pPr>
        <w:spacing w:after="0" w:line="94"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83"/>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8"/>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21" w:lineRule="exact"/>
        <w:rPr>
          <w:sz w:val="24"/>
          <w:szCs w:val="24"/>
          <w:color w:val="auto"/>
        </w:rPr>
      </w:pPr>
    </w:p>
    <w:p>
      <w:pPr>
        <w:ind w:right="10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0" w:lineRule="exact"/>
        <w:rPr>
          <w:sz w:val="24"/>
          <w:szCs w:val="24"/>
          <w:color w:val="auto"/>
        </w:rPr>
      </w:pPr>
    </w:p>
    <w:p>
      <w:pPr>
        <w:ind w:right="17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ordinary shares of the Registrant outstanding as of June 3, 2019 was 32,739,560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83"/>
              </w:rPr>
              <w:t>Page</w:t>
            </w:r>
          </w:p>
        </w:tc>
      </w:tr>
      <w:tr>
        <w:trPr>
          <w:trHeight w:val="412"/>
        </w:trPr>
        <w:tc>
          <w:tcPr>
            <w:tcW w:w="308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360" w:type="dxa"/>
            <w:vAlign w:val="bottom"/>
            <w:gridSpan w:val="10"/>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at April 30, 2019 and January 31, 2019</w:t>
              </w:r>
            </w:hyperlink>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 for the three months ended April 30, 2019 and 2018</w:t>
              </w:r>
            </w:hyperlink>
          </w:p>
        </w:tc>
        <w:tc>
          <w:tcPr>
            <w:tcW w:w="1300" w:type="dxa"/>
            <w:vAlign w:val="bottom"/>
            <w:gridSpan w:val="4"/>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Unaudited Condensed Consolidated Statements of Comprehensive Loss for the three months ended April 30, 2019 and 2018</w:t>
              </w:r>
            </w:hyperlink>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9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Condensed Consolidated Statements of Shareholders’ Equity for the three months ended April 30, 2019 and 2018</w:t>
              </w:r>
            </w:hyperlink>
          </w:p>
        </w:tc>
        <w:tc>
          <w:tcPr>
            <w:tcW w:w="56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3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Statements of Cash Flows for the three months ended April 30, 2019 and 2018</w:t>
              </w:r>
            </w:hyperlink>
          </w:p>
        </w:tc>
        <w:tc>
          <w:tcPr>
            <w:tcW w:w="1240" w:type="dxa"/>
            <w:vAlign w:val="bottom"/>
            <w:gridSpan w:val="3"/>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54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3080" w:type="dxa"/>
            <w:vAlign w:val="bottom"/>
            <w:gridSpan w:val="6"/>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5180" w:type="dxa"/>
            <w:vAlign w:val="bottom"/>
            <w:gridSpan w:val="8"/>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439"/>
        </w:trPr>
        <w:tc>
          <w:tcPr>
            <w:tcW w:w="27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 OTHER INFORMATION</w:t>
              </w:r>
            </w:hyperlink>
          </w:p>
        </w:tc>
        <w:tc>
          <w:tcPr>
            <w:tcW w:w="7660" w:type="dxa"/>
            <w:vAlign w:val="bottom"/>
            <w:gridSpan w:val="11"/>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Legal Proceedings</w:t>
              </w:r>
            </w:hyperlink>
          </w:p>
        </w:tc>
        <w:tc>
          <w:tcPr>
            <w:tcW w:w="8200" w:type="dxa"/>
            <w:vAlign w:val="bottom"/>
            <w:gridSpan w:val="14"/>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1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Unregistered Sales of Equity Securities and Use of Proceeds</w:t>
              </w:r>
            </w:hyperlink>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57</w:t>
            </w:r>
          </w:p>
        </w:tc>
      </w:tr>
      <w:tr>
        <w:trPr>
          <w:trHeight w:val="318"/>
        </w:trPr>
        <w:tc>
          <w:tcPr>
            <w:tcW w:w="9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5200" w:type="dxa"/>
            <w:vAlign w:val="bottom"/>
            <w:gridSpan w:val="9"/>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57</w:t>
            </w:r>
          </w:p>
        </w:tc>
      </w:tr>
      <w:tr>
        <w:trPr>
          <w:trHeight w:val="318"/>
        </w:trPr>
        <w:tc>
          <w:tcPr>
            <w:tcW w:w="900" w:type="dxa"/>
            <w:vAlign w:val="bottom"/>
            <w:gridSpan w:val="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220"/>
              <w:spacing w:after="0"/>
              <w:rPr>
                <w:sz w:val="20"/>
                <w:szCs w:val="20"/>
                <w:color w:val="auto"/>
              </w:rPr>
            </w:pPr>
            <w:r>
              <w:rPr>
                <w:rFonts w:ascii="Arial" w:cs="Arial" w:eastAsia="Arial" w:hAnsi="Arial"/>
                <w:sz w:val="14"/>
                <w:szCs w:val="14"/>
                <w:b w:val="1"/>
                <w:bCs w:val="1"/>
                <w:color w:val="auto"/>
              </w:rPr>
              <w:t>April 30,</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31,</w:t>
            </w:r>
          </w:p>
        </w:tc>
      </w:tr>
      <w:tr>
        <w:trPr>
          <w:trHeight w:val="215"/>
        </w:trPr>
        <w:tc>
          <w:tcPr>
            <w:tcW w:w="6720" w:type="dxa"/>
            <w:vAlign w:val="bottom"/>
            <w:tcBorders>
              <w:bottom w:val="single" w:sz="8" w:color="CFF0FC"/>
            </w:tcBorders>
          </w:tcPr>
          <w:p>
            <w:pPr>
              <w:spacing w:after="0"/>
              <w:rPr>
                <w:sz w:val="18"/>
                <w:szCs w:val="18"/>
                <w:color w:val="auto"/>
              </w:rPr>
            </w:pPr>
          </w:p>
        </w:tc>
        <w:tc>
          <w:tcPr>
            <w:tcW w:w="1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8"/>
                <w:szCs w:val="18"/>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Current assets:</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204,444</w:t>
            </w:r>
          </w:p>
        </w:tc>
        <w:tc>
          <w:tcPr>
            <w:tcW w:w="2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30"/>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194,047</w:t>
            </w:r>
          </w:p>
        </w:tc>
        <w:tc>
          <w:tcPr>
            <w:tcW w:w="120" w:type="dxa"/>
            <w:vAlign w:val="bottom"/>
            <w:shd w:val="clear" w:color="auto" w:fill="CFF0FC"/>
          </w:tcPr>
          <w:p>
            <w:pPr>
              <w:spacing w:after="0"/>
              <w:rPr>
                <w:sz w:val="19"/>
                <w:szCs w:val="19"/>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Marketable debt securities</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161,732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164,861</w:t>
            </w: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26,212</w:t>
            </w:r>
          </w:p>
        </w:tc>
        <w:tc>
          <w:tcPr>
            <w:tcW w:w="120" w:type="dxa"/>
            <w:vAlign w:val="bottom"/>
            <w:shd w:val="clear" w:color="auto" w:fill="CFF0FC"/>
          </w:tcPr>
          <w:p>
            <w:pPr>
              <w:spacing w:after="0"/>
              <w:rPr>
                <w:sz w:val="19"/>
                <w:szCs w:val="19"/>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17,635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18,252</w:t>
            </w: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r>
      <w:tr>
        <w:trPr>
          <w:trHeight w:val="230"/>
        </w:trPr>
        <w:tc>
          <w:tcPr>
            <w:tcW w:w="6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6,206</w:t>
            </w:r>
          </w:p>
        </w:tc>
        <w:tc>
          <w:tcPr>
            <w:tcW w:w="120" w:type="dxa"/>
            <w:vAlign w:val="bottom"/>
            <w:tcBorders>
              <w:bottom w:val="single" w:sz="8" w:color="CFF0FC"/>
            </w:tcBorders>
          </w:tcPr>
          <w:p>
            <w:pPr>
              <w:spacing w:after="0"/>
              <w:rPr>
                <w:sz w:val="19"/>
                <w:szCs w:val="19"/>
                <w:color w:val="auto"/>
              </w:rPr>
            </w:pPr>
          </w:p>
        </w:tc>
      </w:tr>
      <w:tr>
        <w:trPr>
          <w:trHeight w:val="223"/>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415,304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409,589</w:t>
            </w:r>
          </w:p>
        </w:tc>
        <w:tc>
          <w:tcPr>
            <w:tcW w:w="12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6,728</w:t>
            </w: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 non-current</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10,587</w:t>
            </w:r>
          </w:p>
        </w:tc>
        <w:tc>
          <w:tcPr>
            <w:tcW w:w="120" w:type="dxa"/>
            <w:vAlign w:val="bottom"/>
            <w:shd w:val="clear" w:color="auto" w:fill="CFF0FC"/>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10,936</w:t>
            </w: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 net</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Goodwill</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26,601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26,601</w:t>
            </w: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2,412</w:t>
            </w:r>
          </w:p>
        </w:tc>
        <w:tc>
          <w:tcPr>
            <w:tcW w:w="120" w:type="dxa"/>
            <w:vAlign w:val="bottom"/>
            <w:shd w:val="clear" w:color="auto" w:fill="CFF0FC"/>
          </w:tcPr>
          <w:p>
            <w:pPr>
              <w:spacing w:after="0"/>
              <w:rPr>
                <w:sz w:val="19"/>
                <w:szCs w:val="19"/>
                <w:color w:val="auto"/>
              </w:rPr>
            </w:pPr>
          </w:p>
        </w:tc>
      </w:tr>
      <w:tr>
        <w:trPr>
          <w:trHeight w:val="263"/>
        </w:trPr>
        <w:tc>
          <w:tcPr>
            <w:tcW w:w="6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1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479,251</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466,853</w:t>
            </w:r>
          </w:p>
        </w:tc>
        <w:tc>
          <w:tcPr>
            <w:tcW w:w="120" w:type="dxa"/>
            <w:vAlign w:val="bottom"/>
            <w:tcBorders>
              <w:bottom w:val="single" w:sz="8" w:color="CFF0FC"/>
            </w:tcBorders>
          </w:tcPr>
          <w:p>
            <w:pPr>
              <w:spacing w:after="0"/>
              <w:rPr>
                <w:sz w:val="22"/>
                <w:szCs w:val="22"/>
                <w:color w:val="auto"/>
              </w:rPr>
            </w:pPr>
          </w:p>
        </w:tc>
      </w:tr>
      <w:tr>
        <w:trPr>
          <w:trHeight w:val="210"/>
        </w:trPr>
        <w:tc>
          <w:tcPr>
            <w:tcW w:w="6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Current liabilities:</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12,801</w:t>
            </w:r>
          </w:p>
        </w:tc>
        <w:tc>
          <w:tcPr>
            <w:tcW w:w="120" w:type="dxa"/>
            <w:vAlign w:val="bottom"/>
            <w:shd w:val="clear" w:color="auto" w:fill="CFF0FC"/>
          </w:tcPr>
          <w:p>
            <w:pPr>
              <w:spacing w:after="0"/>
              <w:rPr>
                <w:sz w:val="19"/>
                <w:szCs w:val="19"/>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Accrued and other current liabilities</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24,700</w:t>
            </w: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Income taxes payable</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current</w:t>
            </w:r>
          </w:p>
        </w:tc>
        <w:tc>
          <w:tcPr>
            <w:tcW w:w="1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FF0FC"/>
          </w:tcPr>
          <w:p>
            <w:pPr>
              <w:spacing w:after="0"/>
              <w:rPr>
                <w:sz w:val="19"/>
                <w:szCs w:val="19"/>
                <w:color w:val="auto"/>
              </w:rPr>
            </w:pPr>
          </w:p>
        </w:tc>
      </w:tr>
      <w:tr>
        <w:trPr>
          <w:trHeight w:val="223"/>
        </w:trPr>
        <w:tc>
          <w:tcPr>
            <w:tcW w:w="67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42,215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39,023</w:t>
            </w: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1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8,341</w:t>
            </w:r>
          </w:p>
        </w:tc>
        <w:tc>
          <w:tcPr>
            <w:tcW w:w="120" w:type="dxa"/>
            <w:vAlign w:val="bottom"/>
            <w:tcBorders>
              <w:bottom w:val="single" w:sz="8" w:color="CFF0FC"/>
            </w:tcBorders>
          </w:tcPr>
          <w:p>
            <w:pPr>
              <w:spacing w:after="0"/>
              <w:rPr>
                <w:sz w:val="19"/>
                <w:szCs w:val="19"/>
                <w:color w:val="auto"/>
              </w:rPr>
            </w:pPr>
          </w:p>
        </w:tc>
      </w:tr>
      <w:tr>
        <w:trPr>
          <w:trHeight w:val="223"/>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47,364</w:t>
            </w:r>
          </w:p>
        </w:tc>
        <w:tc>
          <w:tcPr>
            <w:tcW w:w="120" w:type="dxa"/>
            <w:vAlign w:val="bottom"/>
            <w:shd w:val="clear" w:color="auto" w:fill="CFF0FC"/>
          </w:tcPr>
          <w:p>
            <w:pPr>
              <w:spacing w:after="0"/>
              <w:rPr>
                <w:sz w:val="19"/>
                <w:szCs w:val="19"/>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6720" w:type="dxa"/>
            <w:vAlign w:val="bottom"/>
          </w:tcPr>
          <w:p>
            <w:pPr>
              <w:ind w:left="260"/>
              <w:spacing w:after="0"/>
              <w:rPr>
                <w:sz w:val="20"/>
                <w:szCs w:val="20"/>
                <w:color w:val="auto"/>
              </w:rPr>
            </w:pPr>
            <w:r>
              <w:rPr>
                <w:rFonts w:ascii="Arial" w:cs="Arial" w:eastAsia="Arial" w:hAnsi="Arial"/>
                <w:sz w:val="18"/>
                <w:szCs w:val="18"/>
                <w:color w:val="auto"/>
              </w:rPr>
              <w:t>Preference shares, $0.00045 par value per share, 20,000,000 shares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20" w:type="dxa"/>
            <w:vAlign w:val="bottom"/>
          </w:tcPr>
          <w:p>
            <w:pPr>
              <w:ind w:left="380"/>
              <w:spacing w:after="0"/>
              <w:rPr>
                <w:sz w:val="20"/>
                <w:szCs w:val="20"/>
                <w:color w:val="auto"/>
              </w:rPr>
            </w:pPr>
            <w:r>
              <w:rPr>
                <w:rFonts w:ascii="Arial" w:cs="Arial" w:eastAsia="Arial" w:hAnsi="Arial"/>
                <w:sz w:val="18"/>
                <w:szCs w:val="18"/>
                <w:color w:val="auto"/>
              </w:rPr>
              <w:t>authorized and no shares issued and outstanding at April 30, 2019 and</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720" w:type="dxa"/>
            <w:vAlign w:val="bottom"/>
          </w:tcPr>
          <w:p>
            <w:pPr>
              <w:ind w:left="380"/>
              <w:spacing w:after="0"/>
              <w:rPr>
                <w:sz w:val="20"/>
                <w:szCs w:val="20"/>
                <w:color w:val="auto"/>
              </w:rPr>
            </w:pPr>
            <w:r>
              <w:rPr>
                <w:rFonts w:ascii="Arial" w:cs="Arial" w:eastAsia="Arial" w:hAnsi="Arial"/>
                <w:sz w:val="18"/>
                <w:szCs w:val="18"/>
                <w:color w:val="auto"/>
              </w:rPr>
              <w:t>January 31, 2019, respectively</w:t>
            </w: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Ordinary shares, $0.00045 par value per share, 200,000,000 shares</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at April 30, 2019 and January 31, 2019, respectively;</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32,738,600 shares issued and outstanding at April 30, 2019; 32,303,540</w:t>
            </w:r>
          </w:p>
        </w:tc>
        <w:tc>
          <w:tcPr>
            <w:tcW w:w="1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issued and outstanding at January 31, 2019</w:t>
            </w:r>
          </w:p>
        </w:tc>
        <w:tc>
          <w:tcPr>
            <w:tcW w:w="1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20"/>
                <w:szCs w:val="20"/>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208,522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188,516</w:t>
            </w:r>
          </w:p>
        </w:tc>
        <w:tc>
          <w:tcPr>
            <w:tcW w:w="120" w:type="dxa"/>
            <w:vAlign w:val="bottom"/>
          </w:tcPr>
          <w:p>
            <w:pPr>
              <w:spacing w:after="0"/>
              <w:rPr>
                <w:sz w:val="19"/>
                <w:szCs w:val="19"/>
                <w:color w:val="auto"/>
              </w:rPr>
            </w:pPr>
          </w:p>
        </w:tc>
      </w:tr>
      <w:tr>
        <w:trPr>
          <w:trHeight w:val="230"/>
        </w:trPr>
        <w:tc>
          <w:tcPr>
            <w:tcW w:w="6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9"/>
                <w:szCs w:val="19"/>
                <w:color w:val="auto"/>
              </w:rPr>
            </w:pPr>
          </w:p>
        </w:tc>
      </w:tr>
      <w:tr>
        <w:trPr>
          <w:trHeight w:val="230"/>
        </w:trPr>
        <w:tc>
          <w:tcPr>
            <w:tcW w:w="6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1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213,550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230,861</w:t>
            </w:r>
          </w:p>
        </w:tc>
        <w:tc>
          <w:tcPr>
            <w:tcW w:w="120" w:type="dxa"/>
            <w:vAlign w:val="bottom"/>
            <w:tcBorders>
              <w:bottom w:val="single" w:sz="8" w:color="CFF0FC"/>
            </w:tcBorders>
          </w:tcPr>
          <w:p>
            <w:pPr>
              <w:spacing w:after="0"/>
              <w:rPr>
                <w:sz w:val="19"/>
                <w:szCs w:val="19"/>
                <w:color w:val="auto"/>
              </w:rPr>
            </w:pPr>
          </w:p>
        </w:tc>
      </w:tr>
      <w:tr>
        <w:trPr>
          <w:trHeight w:val="223"/>
        </w:trPr>
        <w:tc>
          <w:tcPr>
            <w:tcW w:w="6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shareholders’ equity</w:t>
            </w:r>
          </w:p>
        </w:tc>
        <w:tc>
          <w:tcPr>
            <w:tcW w:w="1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422,438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419,489</w:t>
            </w:r>
          </w:p>
        </w:tc>
        <w:tc>
          <w:tcPr>
            <w:tcW w:w="120" w:type="dxa"/>
            <w:vAlign w:val="bottom"/>
            <w:shd w:val="clear" w:color="auto" w:fill="CFF0FC"/>
          </w:tcPr>
          <w:p>
            <w:pPr>
              <w:spacing w:after="0"/>
              <w:rPr>
                <w:sz w:val="19"/>
                <w:szCs w:val="19"/>
                <w:color w:val="auto"/>
              </w:rPr>
            </w:pPr>
          </w:p>
        </w:tc>
      </w:tr>
      <w:tr>
        <w:trPr>
          <w:trHeight w:val="223"/>
        </w:trPr>
        <w:tc>
          <w:tcPr>
            <w:tcW w:w="672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1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479,251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466,853</w:t>
            </w:r>
          </w:p>
        </w:tc>
        <w:tc>
          <w:tcPr>
            <w:tcW w:w="12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56"/>
        </w:trPr>
        <w:tc>
          <w:tcPr>
            <w:tcW w:w="804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19,335</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27,853</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33,017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13,077</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46,094</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(18,241)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(16,045)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0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(17,311)</w:t>
            </w:r>
          </w:p>
        </w:tc>
        <w:tc>
          <w:tcPr>
            <w:tcW w:w="28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ordinary shareholders: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40" w:type="dxa"/>
            <w:vAlign w:val="bottom"/>
          </w:tcPr>
          <w:p>
            <w:pPr>
              <w:ind w:left="26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(0.53)</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0"/>
        </w:trPr>
        <w:tc>
          <w:tcPr>
            <w:tcW w:w="80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color w:val="auto"/>
              </w:rPr>
              <w:t>Weighted-average shares used to compute net loss per share attributable to ordinary</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shareholders: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32,492,044</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33,334,801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32,492,044</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33,334,801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4"/>
                <w:szCs w:val="14"/>
                <w:b w:val="1"/>
                <w:bCs w:val="1"/>
                <w:color w:val="auto"/>
              </w:rPr>
              <w:t>Three Months Ended April 30,</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6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1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(17,311)</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(10,006)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gains (losses) on investments</w:t>
            </w:r>
          </w:p>
        </w:tc>
        <w:tc>
          <w:tcPr>
            <w:tcW w:w="2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w:t>
            </w:r>
          </w:p>
        </w:tc>
      </w:tr>
      <w:tr>
        <w:trPr>
          <w:trHeight w:val="223"/>
        </w:trPr>
        <w:tc>
          <w:tcPr>
            <w:tcW w:w="5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 net of tax</w:t>
            </w:r>
          </w:p>
        </w:tc>
        <w:tc>
          <w:tcPr>
            <w:tcW w:w="22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FF0FC"/>
            </w:tcBorders>
          </w:tcPr>
          <w:p>
            <w:pPr>
              <w:spacing w:after="0"/>
              <w:rPr>
                <w:sz w:val="19"/>
                <w:szCs w:val="19"/>
                <w:color w:val="auto"/>
              </w:rPr>
            </w:pPr>
          </w:p>
        </w:tc>
      </w:tr>
      <w:tr>
        <w:trPr>
          <w:trHeight w:val="223"/>
        </w:trPr>
        <w:tc>
          <w:tcPr>
            <w:tcW w:w="5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22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(17,057)</w:t>
            </w: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(10,116)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5"/>
              </w:rPr>
              <w:t>Ordinary Shares</w:t>
            </w:r>
          </w:p>
        </w:tc>
        <w:tc>
          <w:tcPr>
            <w:tcW w:w="8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w w:val="97"/>
              </w:rPr>
              <w:t>Comprehensive</w:t>
            </w:r>
          </w:p>
        </w:tc>
        <w:tc>
          <w:tcPr>
            <w:tcW w:w="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104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3"/>
                <w:szCs w:val="13"/>
                <w:color w:val="auto"/>
              </w:rPr>
            </w:pPr>
          </w:p>
        </w:tc>
        <w:tc>
          <w:tcPr>
            <w:tcW w:w="82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Balance--January 31, 2019</w:t>
            </w: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32,303,540</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$ 188,516</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$ 230,861</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gridSpan w:val="2"/>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$ 419,489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Exercise of stock options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101,645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1,520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Vesting of restricted stock units</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233,656</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Employee stock purchase plan</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99,759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3,063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3,063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repurchase</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20" w:type="dxa"/>
            <w:vAlign w:val="bottom"/>
          </w:tcPr>
          <w:p>
            <w:pPr>
              <w:spacing w:after="0"/>
              <w:rPr>
                <w:sz w:val="18"/>
                <w:szCs w:val="18"/>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w w:val="89"/>
              </w:rPr>
              <w:t>Stock-based compensation expense related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w w:val="92"/>
              </w:rPr>
              <w:t>to stock awards granted to employees and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consultants</w:t>
            </w:r>
          </w:p>
        </w:tc>
        <w:tc>
          <w:tcPr>
            <w:tcW w:w="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15,423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15,423</w:t>
            </w:r>
          </w:p>
        </w:tc>
        <w:tc>
          <w:tcPr>
            <w:tcW w:w="8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unrealized gains (losses) on</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investments - net of taxes</w:t>
            </w:r>
          </w:p>
        </w:tc>
        <w:tc>
          <w:tcPr>
            <w:tcW w:w="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(17,311)</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(17,311)</w:t>
            </w:r>
          </w:p>
        </w:tc>
      </w:tr>
      <w:tr>
        <w:trPr>
          <w:trHeight w:val="237"/>
        </w:trPr>
        <w:tc>
          <w:tcPr>
            <w:tcW w:w="20" w:type="dxa"/>
            <w:vAlign w:val="bottom"/>
          </w:tcPr>
          <w:p>
            <w:pPr>
              <w:spacing w:after="0"/>
              <w:rPr>
                <w:sz w:val="20"/>
                <w:szCs w:val="20"/>
                <w:color w:val="auto"/>
              </w:rPr>
            </w:pPr>
          </w:p>
        </w:tc>
        <w:tc>
          <w:tcPr>
            <w:tcW w:w="3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Balance--April 30, 2019</w:t>
            </w:r>
          </w:p>
        </w:tc>
        <w:tc>
          <w:tcPr>
            <w:tcW w:w="80" w:type="dxa"/>
            <w:vAlign w:val="bottom"/>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shd w:val="clear" w:color="auto" w:fill="CFF0FC"/>
              </w:rPr>
              <w:t>32,738,600</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shd w:val="clear" w:color="auto" w:fill="CFF0FC"/>
              </w:rPr>
              <w:t>$ 208,522</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shd w:val="clear" w:color="auto" w:fill="CFF0FC"/>
              </w:rPr>
              <w:t>$ 213,550</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$ 422,438</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5"/>
              </w:rPr>
              <w:t>Ordinary Shares</w:t>
            </w:r>
          </w:p>
        </w:tc>
        <w:tc>
          <w:tcPr>
            <w:tcW w:w="8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w w:val="97"/>
              </w:rPr>
              <w:t>Comprehensive</w:t>
            </w:r>
          </w:p>
        </w:tc>
        <w:tc>
          <w:tcPr>
            <w:tcW w:w="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104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3"/>
                <w:szCs w:val="13"/>
                <w:color w:val="auto"/>
              </w:rPr>
            </w:pPr>
          </w:p>
        </w:tc>
        <w:tc>
          <w:tcPr>
            <w:tcW w:w="820" w:type="dxa"/>
            <w:vAlign w:val="bottom"/>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Balance--January 31, 2018</w:t>
            </w: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33,489,614</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$ 221,186</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$ 261,265</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gridSpan w:val="2"/>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$ 482,187</w:t>
            </w: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w w:val="93"/>
              </w:rPr>
              <w:t>Cumulative effect of change in accounting</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principle</w:t>
            </w:r>
          </w:p>
        </w:tc>
        <w:tc>
          <w:tcPr>
            <w:tcW w:w="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 of stock options</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42,483</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Vesting of restricted stock units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230,240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Employee stock purchase plan</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71,415</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2,818</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2,818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Stock repurchase</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(437,448)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(20,624)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(20,624)</w:t>
            </w:r>
          </w:p>
        </w:tc>
      </w:tr>
      <w:tr>
        <w:trPr>
          <w:trHeight w:val="215"/>
        </w:trPr>
        <w:tc>
          <w:tcPr>
            <w:tcW w:w="20" w:type="dxa"/>
            <w:vAlign w:val="bottom"/>
          </w:tcPr>
          <w:p>
            <w:pPr>
              <w:spacing w:after="0"/>
              <w:rPr>
                <w:sz w:val="18"/>
                <w:szCs w:val="18"/>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89"/>
              </w:rPr>
              <w:t>Stock-based compensation expense related</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2"/>
              </w:rPr>
              <w:t>to stock awards granted to employees and</w:t>
            </w: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consultants</w:t>
            </w:r>
          </w:p>
        </w:tc>
        <w:tc>
          <w:tcPr>
            <w:tcW w:w="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14,195</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14,195</w:t>
            </w:r>
          </w:p>
        </w:tc>
        <w:tc>
          <w:tcPr>
            <w:tcW w:w="80" w:type="dxa"/>
            <w:vAlign w:val="bottom"/>
            <w:shd w:val="clear" w:color="auto" w:fill="CFF0FC"/>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Net unrealized gains (losses) on</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investments - net of taxes</w:t>
            </w:r>
          </w:p>
        </w:tc>
        <w:tc>
          <w:tcPr>
            <w:tcW w:w="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(110)</w:t>
            </w:r>
          </w:p>
        </w:tc>
      </w:tr>
      <w:tr>
        <w:trPr>
          <w:trHeight w:val="230"/>
        </w:trPr>
        <w:tc>
          <w:tcPr>
            <w:tcW w:w="20" w:type="dxa"/>
            <w:vAlign w:val="bottom"/>
          </w:tcPr>
          <w:p>
            <w:pPr>
              <w:spacing w:after="0"/>
              <w:rPr>
                <w:sz w:val="19"/>
                <w:szCs w:val="19"/>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(10,006)</w:t>
            </w:r>
          </w:p>
        </w:tc>
        <w:tc>
          <w:tcPr>
            <w:tcW w:w="8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(10,006)</w:t>
            </w:r>
          </w:p>
        </w:tc>
      </w:tr>
      <w:tr>
        <w:trPr>
          <w:trHeight w:val="223"/>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Balance--April 30, 2018</w:t>
            </w:r>
          </w:p>
        </w:tc>
        <w:tc>
          <w:tcPr>
            <w:tcW w:w="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33,396,304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$ 217,880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$ 251,302</w:t>
            </w:r>
          </w:p>
        </w:tc>
        <w:tc>
          <w:tcPr>
            <w:tcW w:w="8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$ 468,808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140"/>
          </w:cols>
          <w:pgMar w:left="1380" w:top="121" w:right="1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AMBARELLA,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0" w:type="dxa"/>
            <w:vAlign w:val="bottom"/>
            <w:tcBorders>
              <w:bottom w:val="single" w:sz="8" w:color="auto"/>
            </w:tcBorders>
            <w:gridSpan w:val="5"/>
          </w:tcPr>
          <w:p>
            <w:pPr>
              <w:jc w:val="right"/>
              <w:ind w:right="112"/>
              <w:spacing w:after="0"/>
              <w:rPr>
                <w:sz w:val="20"/>
                <w:szCs w:val="20"/>
                <w:color w:val="auto"/>
              </w:rPr>
            </w:pPr>
            <w:r>
              <w:rPr>
                <w:rFonts w:ascii="Arial" w:cs="Arial" w:eastAsia="Arial" w:hAnsi="Arial"/>
                <w:sz w:val="14"/>
                <w:szCs w:val="14"/>
                <w:b w:val="1"/>
                <w:bCs w:val="1"/>
                <w:color w:val="auto"/>
              </w:rPr>
              <w:t>Three Months Ended April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0"/>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1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720" w:type="dxa"/>
            <w:vAlign w:val="bottom"/>
          </w:tcPr>
          <w:p>
            <w:pPr>
              <w:ind w:left="260"/>
              <w:spacing w:after="0"/>
              <w:rPr>
                <w:sz w:val="20"/>
                <w:szCs w:val="20"/>
                <w:color w:val="auto"/>
              </w:rPr>
            </w:pPr>
            <w:r>
              <w:rPr>
                <w:rFonts w:ascii="Arial" w:cs="Arial" w:eastAsia="Arial" w:hAnsi="Arial"/>
                <w:sz w:val="17"/>
                <w:szCs w:val="17"/>
                <w:color w:val="auto"/>
              </w:rPr>
              <w:t>Net loss</w:t>
            </w:r>
          </w:p>
        </w:tc>
        <w:tc>
          <w:tcPr>
            <w:tcW w:w="2120" w:type="dxa"/>
            <w:vAlign w:val="bottom"/>
            <w:gridSpan w:val="2"/>
          </w:tcPr>
          <w:p>
            <w:pPr>
              <w:jc w:val="right"/>
              <w:ind w:right="787"/>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(17,311)</w:t>
            </w:r>
          </w:p>
        </w:tc>
        <w:tc>
          <w:tcPr>
            <w:tcW w:w="960" w:type="dxa"/>
            <w:vAlign w:val="bottom"/>
            <w:gridSpan w:val="2"/>
          </w:tcPr>
          <w:p>
            <w:pPr>
              <w:jc w:val="right"/>
              <w:ind w:right="832"/>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(10,006)</w:t>
            </w:r>
          </w:p>
        </w:tc>
      </w:tr>
      <w:tr>
        <w:trPr>
          <w:trHeight w:val="216"/>
        </w:trPr>
        <w:tc>
          <w:tcPr>
            <w:tcW w:w="6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ind w:left="500"/>
              <w:spacing w:after="0"/>
              <w:rPr>
                <w:sz w:val="20"/>
                <w:szCs w:val="20"/>
                <w:color w:val="auto"/>
              </w:rPr>
            </w:pPr>
            <w:r>
              <w:rPr>
                <w:rFonts w:ascii="Arial" w:cs="Arial" w:eastAsia="Arial" w:hAnsi="Arial"/>
                <w:sz w:val="17"/>
                <w:szCs w:val="17"/>
                <w:color w:val="auto"/>
              </w:rPr>
              <w:t>Depreciation and amortization</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2,708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1,784</w:t>
            </w:r>
          </w:p>
        </w:tc>
        <w:tc>
          <w:tcPr>
            <w:tcW w:w="120" w:type="dxa"/>
            <w:vAlign w:val="bottom"/>
          </w:tcPr>
          <w:p>
            <w:pPr>
              <w:spacing w:after="0"/>
              <w:rPr>
                <w:sz w:val="18"/>
                <w:szCs w:val="18"/>
                <w:color w:val="auto"/>
              </w:rPr>
            </w:pPr>
          </w:p>
        </w:tc>
      </w:tr>
      <w:tr>
        <w:trPr>
          <w:trHeight w:val="216"/>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Amortization/accretion of marketable securities</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(378)</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(26)</w:t>
            </w:r>
          </w:p>
        </w:tc>
      </w:tr>
      <w:tr>
        <w:trPr>
          <w:trHeight w:val="216"/>
        </w:trPr>
        <w:tc>
          <w:tcPr>
            <w:tcW w:w="6720" w:type="dxa"/>
            <w:vAlign w:val="bottom"/>
          </w:tcPr>
          <w:p>
            <w:pPr>
              <w:ind w:left="500"/>
              <w:spacing w:after="0"/>
              <w:rPr>
                <w:sz w:val="20"/>
                <w:szCs w:val="20"/>
                <w:color w:val="auto"/>
              </w:rPr>
            </w:pPr>
            <w:r>
              <w:rPr>
                <w:rFonts w:ascii="Arial" w:cs="Arial" w:eastAsia="Arial" w:hAnsi="Arial"/>
                <w:sz w:val="17"/>
                <w:szCs w:val="17"/>
                <w:color w:val="auto"/>
              </w:rPr>
              <w:t>Stock-based compensation</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16,460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14,195</w:t>
            </w:r>
          </w:p>
        </w:tc>
        <w:tc>
          <w:tcPr>
            <w:tcW w:w="120" w:type="dxa"/>
            <w:vAlign w:val="bottom"/>
          </w:tcPr>
          <w:p>
            <w:pPr>
              <w:spacing w:after="0"/>
              <w:rPr>
                <w:sz w:val="18"/>
                <w:szCs w:val="18"/>
                <w:color w:val="auto"/>
              </w:rPr>
            </w:pPr>
          </w:p>
        </w:tc>
      </w:tr>
      <w:tr>
        <w:trPr>
          <w:trHeight w:val="216"/>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non-cash items, net</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ind w:left="260"/>
              <w:spacing w:after="0"/>
              <w:rPr>
                <w:sz w:val="20"/>
                <w:szCs w:val="20"/>
                <w:color w:val="auto"/>
              </w:rPr>
            </w:pPr>
            <w:r>
              <w:rPr>
                <w:rFonts w:ascii="Arial" w:cs="Arial" w:eastAsia="Arial" w:hAnsi="Arial"/>
                <w:sz w:val="17"/>
                <w:szCs w:val="17"/>
                <w:color w:val="auto"/>
              </w:rPr>
              <w:t>Changes in operating assets and liabilities:</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Accounts receivable</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(245)</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5,567</w:t>
            </w: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ind w:left="500"/>
              <w:spacing w:after="0"/>
              <w:rPr>
                <w:sz w:val="20"/>
                <w:szCs w:val="20"/>
                <w:color w:val="auto"/>
              </w:rPr>
            </w:pPr>
            <w:r>
              <w:rPr>
                <w:rFonts w:ascii="Arial" w:cs="Arial" w:eastAsia="Arial" w:hAnsi="Arial"/>
                <w:sz w:val="17"/>
                <w:szCs w:val="17"/>
                <w:color w:val="auto"/>
              </w:rPr>
              <w:t>Inventories</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617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415</w:t>
            </w:r>
          </w:p>
        </w:tc>
        <w:tc>
          <w:tcPr>
            <w:tcW w:w="120" w:type="dxa"/>
            <w:vAlign w:val="bottom"/>
          </w:tcPr>
          <w:p>
            <w:pPr>
              <w:spacing w:after="0"/>
              <w:rPr>
                <w:sz w:val="18"/>
                <w:szCs w:val="18"/>
                <w:color w:val="auto"/>
              </w:rPr>
            </w:pPr>
          </w:p>
        </w:tc>
      </w:tr>
      <w:tr>
        <w:trPr>
          <w:trHeight w:val="216"/>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Prepaid expenses and other current assets</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1,007</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w:t>
            </w: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ind w:left="500"/>
              <w:spacing w:after="0"/>
              <w:rPr>
                <w:sz w:val="20"/>
                <w:szCs w:val="20"/>
                <w:color w:val="auto"/>
              </w:rPr>
            </w:pPr>
            <w:r>
              <w:rPr>
                <w:rFonts w:ascii="Arial" w:cs="Arial" w:eastAsia="Arial" w:hAnsi="Arial"/>
                <w:sz w:val="17"/>
                <w:szCs w:val="17"/>
                <w:color w:val="auto"/>
              </w:rPr>
              <w:t>Deferred tax assets</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(8)</w:t>
            </w:r>
          </w:p>
        </w:tc>
      </w:tr>
      <w:tr>
        <w:trPr>
          <w:trHeight w:val="216"/>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assets</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(81)</w:t>
            </w:r>
          </w:p>
        </w:tc>
      </w:tr>
      <w:tr>
        <w:trPr>
          <w:trHeight w:val="216"/>
        </w:trPr>
        <w:tc>
          <w:tcPr>
            <w:tcW w:w="6720" w:type="dxa"/>
            <w:vAlign w:val="bottom"/>
          </w:tcPr>
          <w:p>
            <w:pPr>
              <w:ind w:left="500"/>
              <w:spacing w:after="0"/>
              <w:rPr>
                <w:sz w:val="20"/>
                <w:szCs w:val="20"/>
                <w:color w:val="auto"/>
              </w:rPr>
            </w:pPr>
            <w:r>
              <w:rPr>
                <w:rFonts w:ascii="Arial" w:cs="Arial" w:eastAsia="Arial" w:hAnsi="Arial"/>
                <w:sz w:val="17"/>
                <w:szCs w:val="17"/>
                <w:color w:val="auto"/>
              </w:rPr>
              <w:t>Accounts payable</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3,254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(2,366)</w:t>
            </w:r>
          </w:p>
        </w:tc>
      </w:tr>
      <w:tr>
        <w:trPr>
          <w:trHeight w:val="216"/>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Accrued liabilities</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(454)</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(9,640)</w:t>
            </w:r>
          </w:p>
        </w:tc>
      </w:tr>
      <w:tr>
        <w:trPr>
          <w:trHeight w:val="216"/>
        </w:trPr>
        <w:tc>
          <w:tcPr>
            <w:tcW w:w="6720" w:type="dxa"/>
            <w:vAlign w:val="bottom"/>
          </w:tcPr>
          <w:p>
            <w:pPr>
              <w:ind w:left="500"/>
              <w:spacing w:after="0"/>
              <w:rPr>
                <w:sz w:val="20"/>
                <w:szCs w:val="20"/>
                <w:color w:val="auto"/>
              </w:rPr>
            </w:pPr>
            <w:r>
              <w:rPr>
                <w:rFonts w:ascii="Arial" w:cs="Arial" w:eastAsia="Arial" w:hAnsi="Arial"/>
                <w:sz w:val="17"/>
                <w:szCs w:val="17"/>
                <w:color w:val="auto"/>
              </w:rPr>
              <w:t>Income taxes payable</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(311)</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(551)</w:t>
            </w:r>
          </w:p>
        </w:tc>
      </w:tr>
      <w:tr>
        <w:trPr>
          <w:trHeight w:val="216"/>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Deferred revenue</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281</w:t>
            </w:r>
          </w:p>
        </w:tc>
        <w:tc>
          <w:tcPr>
            <w:tcW w:w="120" w:type="dxa"/>
            <w:vAlign w:val="bottom"/>
            <w:shd w:val="clear" w:color="auto" w:fill="CFF0FC"/>
          </w:tcPr>
          <w:p>
            <w:pPr>
              <w:spacing w:after="0"/>
              <w:rPr>
                <w:sz w:val="18"/>
                <w:szCs w:val="18"/>
                <w:color w:val="auto"/>
              </w:rPr>
            </w:pPr>
          </w:p>
        </w:tc>
      </w:tr>
      <w:tr>
        <w:trPr>
          <w:trHeight w:val="230"/>
        </w:trPr>
        <w:tc>
          <w:tcPr>
            <w:tcW w:w="6720" w:type="dxa"/>
            <w:vAlign w:val="bottom"/>
          </w:tcPr>
          <w:p>
            <w:pPr>
              <w:ind w:left="500"/>
              <w:spacing w:after="0"/>
              <w:rPr>
                <w:sz w:val="20"/>
                <w:szCs w:val="20"/>
                <w:color w:val="auto"/>
              </w:rPr>
            </w:pPr>
            <w:r>
              <w:rPr>
                <w:rFonts w:ascii="Arial" w:cs="Arial" w:eastAsia="Arial" w:hAnsi="Arial"/>
                <w:sz w:val="17"/>
                <w:szCs w:val="17"/>
                <w:color w:val="auto"/>
              </w:rPr>
              <w:t>Lease Liabilities</w:t>
            </w: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(727)</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long-term liabilities</w:t>
            </w:r>
          </w:p>
        </w:tc>
        <w:tc>
          <w:tcPr>
            <w:tcW w:w="118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453</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294</w:t>
            </w:r>
          </w:p>
        </w:tc>
        <w:tc>
          <w:tcPr>
            <w:tcW w:w="120" w:type="dxa"/>
            <w:vAlign w:val="bottom"/>
            <w:shd w:val="clear" w:color="auto" w:fill="CFF0FC"/>
          </w:tcPr>
          <w:p>
            <w:pPr>
              <w:spacing w:after="0"/>
              <w:rPr>
                <w:sz w:val="18"/>
                <w:szCs w:val="18"/>
                <w:color w:val="auto"/>
              </w:rPr>
            </w:pPr>
          </w:p>
        </w:tc>
      </w:tr>
      <w:tr>
        <w:trPr>
          <w:trHeight w:val="210"/>
        </w:trPr>
        <w:tc>
          <w:tcPr>
            <w:tcW w:w="67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operating activities</w:t>
            </w:r>
          </w:p>
        </w:tc>
        <w:tc>
          <w:tcPr>
            <w:tcW w:w="11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5,332</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20" w:type="dxa"/>
            <w:vAlign w:val="bottom"/>
            <w:tcBorders>
              <w:bottom w:val="single" w:sz="8" w:color="CFF0FC"/>
            </w:tcBorders>
          </w:tcPr>
          <w:p>
            <w:pPr>
              <w:spacing w:after="0"/>
              <w:rPr>
                <w:sz w:val="18"/>
                <w:szCs w:val="18"/>
                <w:color w:val="auto"/>
              </w:rPr>
            </w:pPr>
          </w:p>
        </w:tc>
      </w:tr>
      <w:tr>
        <w:trPr>
          <w:trHeight w:val="210"/>
        </w:trPr>
        <w:tc>
          <w:tcPr>
            <w:tcW w:w="6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ind w:left="260"/>
              <w:spacing w:after="0"/>
              <w:rPr>
                <w:sz w:val="20"/>
                <w:szCs w:val="20"/>
                <w:color w:val="auto"/>
              </w:rPr>
            </w:pPr>
            <w:r>
              <w:rPr>
                <w:rFonts w:ascii="Arial" w:cs="Arial" w:eastAsia="Arial" w:hAnsi="Arial"/>
                <w:sz w:val="17"/>
                <w:szCs w:val="17"/>
                <w:color w:val="auto"/>
              </w:rPr>
              <w:t>Purchase of investments</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(35,583)</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(8,969)</w:t>
            </w:r>
          </w:p>
        </w:tc>
      </w:tr>
      <w:tr>
        <w:trPr>
          <w:trHeight w:val="216"/>
        </w:trPr>
        <w:tc>
          <w:tcPr>
            <w:tcW w:w="6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Sales of investments</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10,023</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3,500</w:t>
            </w: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ind w:left="260"/>
              <w:spacing w:after="0"/>
              <w:rPr>
                <w:sz w:val="20"/>
                <w:szCs w:val="20"/>
                <w:color w:val="auto"/>
              </w:rPr>
            </w:pPr>
            <w:r>
              <w:rPr>
                <w:rFonts w:ascii="Arial" w:cs="Arial" w:eastAsia="Arial" w:hAnsi="Arial"/>
                <w:sz w:val="17"/>
                <w:szCs w:val="17"/>
                <w:color w:val="auto"/>
              </w:rPr>
              <w:t>Maturities of investments</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29,195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15,850</w:t>
            </w:r>
          </w:p>
        </w:tc>
        <w:tc>
          <w:tcPr>
            <w:tcW w:w="120" w:type="dxa"/>
            <w:vAlign w:val="bottom"/>
          </w:tcPr>
          <w:p>
            <w:pPr>
              <w:spacing w:after="0"/>
              <w:rPr>
                <w:sz w:val="18"/>
                <w:szCs w:val="18"/>
                <w:color w:val="auto"/>
              </w:rPr>
            </w:pPr>
          </w:p>
        </w:tc>
      </w:tr>
      <w:tr>
        <w:trPr>
          <w:trHeight w:val="216"/>
        </w:trPr>
        <w:tc>
          <w:tcPr>
            <w:tcW w:w="6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Purchase of property and equipment</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(513)</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(671)</w:t>
            </w:r>
          </w:p>
        </w:tc>
      </w:tr>
      <w:tr>
        <w:trPr>
          <w:trHeight w:val="210"/>
        </w:trPr>
        <w:tc>
          <w:tcPr>
            <w:tcW w:w="6720" w:type="dxa"/>
            <w:vAlign w:val="bottom"/>
            <w:tcBorders>
              <w:bottom w:val="single" w:sz="8" w:color="CFF0FC"/>
            </w:tcBorders>
          </w:tcPr>
          <w:p>
            <w:pPr>
              <w:ind w:left="740"/>
              <w:spacing w:after="0"/>
              <w:rPr>
                <w:sz w:val="20"/>
                <w:szCs w:val="20"/>
                <w:color w:val="auto"/>
              </w:rPr>
            </w:pPr>
            <w:r>
              <w:rPr>
                <w:rFonts w:ascii="Arial" w:cs="Arial" w:eastAsia="Arial" w:hAnsi="Arial"/>
                <w:sz w:val="17"/>
                <w:szCs w:val="17"/>
                <w:color w:val="auto"/>
              </w:rPr>
              <w:t>Net cash provided by investing activities</w:t>
            </w:r>
          </w:p>
        </w:tc>
        <w:tc>
          <w:tcPr>
            <w:tcW w:w="1180" w:type="dxa"/>
            <w:vAlign w:val="bottom"/>
            <w:tcBorders>
              <w:bottom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3,122</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9,710</w:t>
            </w:r>
          </w:p>
        </w:tc>
        <w:tc>
          <w:tcPr>
            <w:tcW w:w="120" w:type="dxa"/>
            <w:vAlign w:val="bottom"/>
            <w:tcBorders>
              <w:bottom w:val="single" w:sz="8" w:color="CFF0FC"/>
            </w:tcBorders>
          </w:tcPr>
          <w:p>
            <w:pPr>
              <w:spacing w:after="0"/>
              <w:rPr>
                <w:sz w:val="18"/>
                <w:szCs w:val="18"/>
                <w:color w:val="auto"/>
              </w:rPr>
            </w:pPr>
          </w:p>
        </w:tc>
      </w:tr>
      <w:tr>
        <w:trPr>
          <w:trHeight w:val="210"/>
        </w:trPr>
        <w:tc>
          <w:tcPr>
            <w:tcW w:w="6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20" w:type="dxa"/>
            <w:vAlign w:val="bottom"/>
          </w:tcPr>
          <w:p>
            <w:pPr>
              <w:ind w:left="260"/>
              <w:spacing w:after="0"/>
              <w:rPr>
                <w:sz w:val="20"/>
                <w:szCs w:val="20"/>
                <w:color w:val="auto"/>
              </w:rPr>
            </w:pPr>
            <w:r>
              <w:rPr>
                <w:rFonts w:ascii="Arial" w:cs="Arial" w:eastAsia="Arial" w:hAnsi="Arial"/>
                <w:sz w:val="17"/>
                <w:szCs w:val="17"/>
                <w:color w:val="auto"/>
              </w:rPr>
              <w:t>Stock repurchase</w:t>
            </w:r>
          </w:p>
        </w:tc>
        <w:tc>
          <w:tcPr>
            <w:tcW w:w="1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(20,624)</w:t>
            </w:r>
          </w:p>
        </w:tc>
      </w:tr>
      <w:tr>
        <w:trPr>
          <w:trHeight w:val="216"/>
        </w:trPr>
        <w:tc>
          <w:tcPr>
            <w:tcW w:w="6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from exercise of stock options and employee stock purchase plan</w:t>
            </w:r>
          </w:p>
        </w:tc>
        <w:tc>
          <w:tcPr>
            <w:tcW w:w="1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2,938</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1,669</w:t>
            </w:r>
          </w:p>
        </w:tc>
        <w:tc>
          <w:tcPr>
            <w:tcW w:w="120" w:type="dxa"/>
            <w:vAlign w:val="bottom"/>
            <w:shd w:val="clear" w:color="auto" w:fill="CFF0FC"/>
          </w:tcPr>
          <w:p>
            <w:pPr>
              <w:spacing w:after="0"/>
              <w:rPr>
                <w:sz w:val="18"/>
                <w:szCs w:val="18"/>
                <w:color w:val="auto"/>
              </w:rPr>
            </w:pPr>
          </w:p>
        </w:tc>
      </w:tr>
      <w:tr>
        <w:trPr>
          <w:trHeight w:val="216"/>
        </w:trPr>
        <w:tc>
          <w:tcPr>
            <w:tcW w:w="6720" w:type="dxa"/>
            <w:vAlign w:val="bottom"/>
          </w:tcPr>
          <w:p>
            <w:pPr>
              <w:ind w:left="260"/>
              <w:spacing w:after="0"/>
              <w:rPr>
                <w:sz w:val="20"/>
                <w:szCs w:val="20"/>
                <w:color w:val="auto"/>
              </w:rPr>
            </w:pPr>
            <w:r>
              <w:rPr>
                <w:rFonts w:ascii="Arial" w:cs="Arial" w:eastAsia="Arial" w:hAnsi="Arial"/>
                <w:sz w:val="17"/>
                <w:szCs w:val="17"/>
                <w:color w:val="auto"/>
              </w:rPr>
              <w:t>Payment for intangible asset</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(995)</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(799)</w:t>
            </w:r>
          </w:p>
        </w:tc>
      </w:tr>
      <w:tr>
        <w:trPr>
          <w:trHeight w:val="210"/>
        </w:trPr>
        <w:tc>
          <w:tcPr>
            <w:tcW w:w="67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7"/>
                <w:szCs w:val="17"/>
                <w:color w:val="auto"/>
              </w:rPr>
              <w:t>Net cash provided by (used in) financing activities</w:t>
            </w:r>
          </w:p>
        </w:tc>
        <w:tc>
          <w:tcPr>
            <w:tcW w:w="11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1,943</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(19,754)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6720" w:type="dxa"/>
            <w:vAlign w:val="bottom"/>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10,397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(9,980)</w:t>
            </w:r>
          </w:p>
        </w:tc>
        <w:tc>
          <w:tcPr>
            <w:tcW w:w="120" w:type="dxa"/>
            <w:vAlign w:val="bottom"/>
          </w:tcPr>
          <w:p>
            <w:pPr>
              <w:spacing w:after="0"/>
              <w:rPr>
                <w:sz w:val="18"/>
                <w:szCs w:val="18"/>
                <w:color w:val="auto"/>
              </w:rPr>
            </w:pPr>
          </w:p>
        </w:tc>
      </w:tr>
      <w:tr>
        <w:trPr>
          <w:trHeight w:val="216"/>
        </w:trPr>
        <w:tc>
          <w:tcPr>
            <w:tcW w:w="6720" w:type="dxa"/>
            <w:vAlign w:val="bottom"/>
            <w:shd w:val="clear" w:color="auto" w:fill="CFF0FC"/>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118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4"/>
              </w:rPr>
              <w:t>194,058</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346,681</w:t>
            </w:r>
          </w:p>
        </w:tc>
        <w:tc>
          <w:tcPr>
            <w:tcW w:w="120" w:type="dxa"/>
            <w:vAlign w:val="bottom"/>
            <w:shd w:val="clear" w:color="auto" w:fill="CFF0FC"/>
          </w:tcPr>
          <w:p>
            <w:pPr>
              <w:spacing w:after="0"/>
              <w:rPr>
                <w:sz w:val="18"/>
                <w:szCs w:val="18"/>
                <w:color w:val="auto"/>
              </w:rPr>
            </w:pPr>
          </w:p>
        </w:tc>
      </w:tr>
      <w:tr>
        <w:trPr>
          <w:trHeight w:val="250"/>
        </w:trPr>
        <w:tc>
          <w:tcPr>
            <w:tcW w:w="6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cash equivalents and restricted cash at end of period</w:t>
            </w:r>
          </w:p>
        </w:tc>
        <w:tc>
          <w:tcPr>
            <w:tcW w:w="118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204,455</w:t>
            </w:r>
          </w:p>
        </w:tc>
        <w:tc>
          <w:tcPr>
            <w:tcW w:w="3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jc w:val="right"/>
              <w:ind w:right="83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336,701</w:t>
            </w:r>
          </w:p>
        </w:tc>
        <w:tc>
          <w:tcPr>
            <w:tcW w:w="120" w:type="dxa"/>
            <w:vAlign w:val="bottom"/>
            <w:tcBorders>
              <w:bottom w:val="single" w:sz="8" w:color="CFF0FC"/>
            </w:tcBorders>
          </w:tcPr>
          <w:p>
            <w:pPr>
              <w:spacing w:after="0"/>
              <w:rPr>
                <w:sz w:val="21"/>
                <w:szCs w:val="21"/>
                <w:color w:val="auto"/>
              </w:rPr>
            </w:pPr>
          </w:p>
        </w:tc>
      </w:tr>
      <w:tr>
        <w:trPr>
          <w:trHeight w:val="197"/>
        </w:trPr>
        <w:tc>
          <w:tcPr>
            <w:tcW w:w="6720" w:type="dxa"/>
            <w:vAlign w:val="bottom"/>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Supplemental disclosure of cash flow information:</w:t>
            </w:r>
          </w:p>
        </w:tc>
        <w:tc>
          <w:tcPr>
            <w:tcW w:w="1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56"/>
        </w:trPr>
        <w:tc>
          <w:tcPr>
            <w:tcW w:w="6720" w:type="dxa"/>
            <w:vAlign w:val="bottom"/>
          </w:tcPr>
          <w:p>
            <w:pPr>
              <w:ind w:left="260"/>
              <w:spacing w:after="0"/>
              <w:rPr>
                <w:sz w:val="20"/>
                <w:szCs w:val="20"/>
                <w:color w:val="auto"/>
              </w:rPr>
            </w:pPr>
            <w:r>
              <w:rPr>
                <w:rFonts w:ascii="Arial" w:cs="Arial" w:eastAsia="Arial" w:hAnsi="Arial"/>
                <w:sz w:val="17"/>
                <w:szCs w:val="17"/>
                <w:color w:val="auto"/>
              </w:rPr>
              <w:t>Cash paid for income taxes</w:t>
            </w:r>
          </w:p>
        </w:tc>
        <w:tc>
          <w:tcPr>
            <w:tcW w:w="2120" w:type="dxa"/>
            <w:vAlign w:val="bottom"/>
            <w:gridSpan w:val="2"/>
          </w:tcPr>
          <w:p>
            <w:pPr>
              <w:jc w:val="right"/>
              <w:ind w:right="787"/>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797</w:t>
            </w:r>
          </w:p>
        </w:tc>
        <w:tc>
          <w:tcPr>
            <w:tcW w:w="300" w:type="dxa"/>
            <w:vAlign w:val="bottom"/>
          </w:tcPr>
          <w:p>
            <w:pPr>
              <w:spacing w:after="0"/>
              <w:rPr>
                <w:sz w:val="22"/>
                <w:szCs w:val="22"/>
                <w:color w:val="auto"/>
              </w:rPr>
            </w:pPr>
          </w:p>
        </w:tc>
        <w:tc>
          <w:tcPr>
            <w:tcW w:w="960" w:type="dxa"/>
            <w:vAlign w:val="bottom"/>
            <w:gridSpan w:val="2"/>
          </w:tcPr>
          <w:p>
            <w:pPr>
              <w:jc w:val="right"/>
              <w:ind w:right="83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908</w:t>
            </w:r>
          </w:p>
        </w:tc>
        <w:tc>
          <w:tcPr>
            <w:tcW w:w="120" w:type="dxa"/>
            <w:vAlign w:val="bottom"/>
          </w:tcPr>
          <w:p>
            <w:pPr>
              <w:spacing w:after="0"/>
              <w:rPr>
                <w:sz w:val="22"/>
                <w:szCs w:val="22"/>
                <w:color w:val="auto"/>
              </w:rPr>
            </w:pPr>
          </w:p>
        </w:tc>
      </w:tr>
      <w:tr>
        <w:trPr>
          <w:trHeight w:val="197"/>
        </w:trPr>
        <w:tc>
          <w:tcPr>
            <w:tcW w:w="6720" w:type="dxa"/>
            <w:vAlign w:val="bottom"/>
            <w:tcBorders>
              <w:top w:val="single" w:sz="8" w:color="CFF0FC"/>
            </w:tcBorders>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118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6720" w:type="dxa"/>
            <w:vAlign w:val="bottom"/>
          </w:tcPr>
          <w:p>
            <w:pPr>
              <w:ind w:left="260"/>
              <w:spacing w:after="0"/>
              <w:rPr>
                <w:sz w:val="20"/>
                <w:szCs w:val="20"/>
                <w:color w:val="auto"/>
              </w:rPr>
            </w:pPr>
            <w:r>
              <w:rPr>
                <w:rFonts w:ascii="Arial" w:cs="Arial" w:eastAsia="Arial" w:hAnsi="Arial"/>
                <w:sz w:val="17"/>
                <w:szCs w:val="17"/>
                <w:color w:val="auto"/>
              </w:rPr>
              <w:t>Unpaid liabilities related to intangible and fixed assets additions</w:t>
            </w:r>
          </w:p>
        </w:tc>
        <w:tc>
          <w:tcPr>
            <w:tcW w:w="2120" w:type="dxa"/>
            <w:vAlign w:val="bottom"/>
            <w:gridSpan w:val="2"/>
          </w:tcPr>
          <w:p>
            <w:pPr>
              <w:jc w:val="right"/>
              <w:ind w:right="787"/>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372</w:t>
            </w:r>
          </w:p>
        </w:tc>
        <w:tc>
          <w:tcPr>
            <w:tcW w:w="300" w:type="dxa"/>
            <w:vAlign w:val="bottom"/>
          </w:tcPr>
          <w:p>
            <w:pPr>
              <w:spacing w:after="0"/>
              <w:rPr>
                <w:sz w:val="18"/>
                <w:szCs w:val="18"/>
                <w:color w:val="auto"/>
              </w:rPr>
            </w:pPr>
          </w:p>
        </w:tc>
        <w:tc>
          <w:tcPr>
            <w:tcW w:w="960" w:type="dxa"/>
            <w:vAlign w:val="bottom"/>
            <w:gridSpan w:val="2"/>
          </w:tcPr>
          <w:p>
            <w:pPr>
              <w:jc w:val="right"/>
              <w:ind w:right="83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342</w:t>
            </w:r>
          </w:p>
        </w:tc>
        <w:tc>
          <w:tcPr>
            <w:tcW w:w="120" w:type="dxa"/>
            <w:vAlign w:val="bottom"/>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4900"/>
        <w:spacing w:after="0"/>
        <w:rPr>
          <w:sz w:val="20"/>
          <w:szCs w:val="20"/>
          <w:color w:val="auto"/>
        </w:rPr>
      </w:pPr>
      <w:r>
        <w:rPr>
          <w:rFonts w:ascii="Arial" w:cs="Arial" w:eastAsia="Arial" w:hAnsi="Arial"/>
          <w:sz w:val="18"/>
          <w:szCs w:val="18"/>
          <w:b w:val="1"/>
          <w:bCs w:val="1"/>
          <w:color w:val="auto"/>
        </w:rPr>
        <w:t>AMBARELLA,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520" w:right="6420" w:hanging="512"/>
        <w:spacing w:after="0" w:line="378" w:lineRule="auto"/>
        <w:tabs>
          <w:tab w:leader="none" w:pos="18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Summary of Significant Accounting Policies </w:t>
      </w:r>
      <w:r>
        <w:rPr>
          <w:rFonts w:ascii="Arial" w:cs="Arial" w:eastAsia="Arial" w:hAnsi="Arial"/>
          <w:sz w:val="18"/>
          <w:szCs w:val="18"/>
          <w:b w:val="1"/>
          <w:bCs w:val="1"/>
          <w:i w:val="1"/>
          <w:iCs w:val="1"/>
          <w:color w:val="auto"/>
        </w:rPr>
        <w:t>Organization</w:t>
      </w:r>
    </w:p>
    <w:p>
      <w:pPr>
        <w:ind w:right="80" w:firstLine="518"/>
        <w:spacing w:after="0" w:line="291" w:lineRule="auto"/>
        <w:rPr>
          <w:sz w:val="20"/>
          <w:szCs w:val="20"/>
          <w:color w:val="auto"/>
        </w:rPr>
      </w:pPr>
      <w:r>
        <w:rPr>
          <w:rFonts w:ascii="Arial" w:cs="Arial" w:eastAsia="Arial" w:hAnsi="Arial"/>
          <w:sz w:val="16"/>
          <w:szCs w:val="16"/>
          <w:color w:val="auto"/>
        </w:rPr>
        <w:t>Ambarella, Inc. (the “Company”) was incorporated in the Cayman Islands on January 15, 2004. The Company is a leading developer of low-power, high-definition (HD) and Ultra HD video compression and image processing solutions, and computer vision solutions.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integrated high-definition video processing, image processing, analysis, audio processing and system functions onto a single chip, delivering exceptional video and image quality, differentiated functionality and low power consumption. Currently the Company is combining advanced computer vision technology with its state-of-the-art video to enable the next generation of intelligent cameras, advanced driver assistance systems (ADAS) and autonomous vehicles.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 sells its solutions to leading original design manufacturers, or ODMs, and original equipment manufacturers, or OEMs, globally.</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2019 fiscal year filed with the SEC on March 29, 2019 (the “Form 10-K”) and updated, as necessary, in this Form 10-Q. The year-end condensed consolidated balance sheet data presented for comparative purposes was derived from audited financial statements, but does not include all disclosures required by generally accepted accounting principles in the United States (“U.S. GAAP”).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500" w:firstLine="518"/>
        <w:spacing w:after="0" w:line="308" w:lineRule="auto"/>
        <w:rPr>
          <w:sz w:val="20"/>
          <w:szCs w:val="20"/>
          <w:color w:val="auto"/>
        </w:rPr>
      </w:pPr>
      <w:r>
        <w:rPr>
          <w:rFonts w:ascii="Arial" w:cs="Arial" w:eastAsia="Arial" w:hAnsi="Arial"/>
          <w:sz w:val="17"/>
          <w:szCs w:val="17"/>
          <w:color w:val="auto"/>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firstLine="518"/>
        <w:spacing w:after="0" w:line="286"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reported periods. Actual results could differ from those estimates.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an ongoing basis, management evaluates its estimates and assumptions, including those related to (i) the collectability of accounts receivable;</w:t>
      </w:r>
    </w:p>
    <w:p>
      <w:pPr>
        <w:spacing w:after="0" w:line="46" w:lineRule="exact"/>
        <w:rPr>
          <w:sz w:val="20"/>
          <w:szCs w:val="20"/>
          <w:color w:val="auto"/>
        </w:rPr>
      </w:pPr>
    </w:p>
    <w:p>
      <w:pPr>
        <w:ind w:right="160" w:firstLine="8"/>
        <w:spacing w:after="0" w:line="281" w:lineRule="auto"/>
        <w:tabs>
          <w:tab w:leader="none" w:pos="265" w:val="left"/>
        </w:tabs>
        <w:numPr>
          <w:ilvl w:val="0"/>
          <w:numId w:val="4"/>
        </w:numPr>
        <w:rPr>
          <w:rFonts w:ascii="Arial" w:cs="Arial" w:eastAsia="Arial" w:hAnsi="Arial"/>
          <w:sz w:val="16"/>
          <w:szCs w:val="16"/>
          <w:color w:val="auto"/>
        </w:rPr>
      </w:pPr>
      <w:r>
        <w:rPr>
          <w:rFonts w:ascii="Arial" w:cs="Arial" w:eastAsia="Arial" w:hAnsi="Arial"/>
          <w:sz w:val="16"/>
          <w:szCs w:val="16"/>
          <w:color w:val="auto"/>
        </w:rPr>
        <w:t>write down of excess and obsolete inventories; (iii) intangible assets and goodwill; (iv) the estimated useful lives of long-lived assets; (v) impairment of long-lived assets and financial instruments; (vi) warranty obligations; (vii) the valuation of stock-based compensation awards and financial instruments;</w:t>
      </w:r>
    </w:p>
    <w:p>
      <w:pPr>
        <w:spacing w:after="0" w:line="1" w:lineRule="exact"/>
        <w:rPr>
          <w:rFonts w:ascii="Arial" w:cs="Arial" w:eastAsia="Arial" w:hAnsi="Arial"/>
          <w:sz w:val="16"/>
          <w:szCs w:val="16"/>
          <w:color w:val="auto"/>
        </w:rPr>
      </w:pPr>
    </w:p>
    <w:p>
      <w:pPr>
        <w:ind w:right="120" w:firstLine="8"/>
        <w:spacing w:after="0" w:line="270" w:lineRule="auto"/>
        <w:tabs>
          <w:tab w:leader="none" w:pos="40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probability of performance objectives achievement; (ix) the realization of tax assets and estimates of tax liabilities, including reserves for uncertain tax positions; and (x) the recognition and disclosure of contingent liabilities. These estimates and assumptions are based on historical experience and on various other factors which the Company believes to be reasonable under the circumstances. The Company may engage third-party valuation specialists to assist with estimates related to the valuation of financial instruments,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66"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A substantial portion of the Company’s revenue is derived from sales through one of its distributors, Wintech Microelectronics Co., Ltd., or Wintech, which serves as its non-exclusive sales representative in Asia other than Japan, and directly to one ODM customer, Chicony Electronics Co., Ltd., or Chicony. Termination of the relationships with these customers could result in a temporary or permanent loss of revenue. Furthermore, any credit issues from these customers could impair their abilities to make timely payment to the Company. See Note 14 for additional information regarding revenue and credit concentration with these customers.</w:t>
      </w:r>
    </w:p>
    <w:p>
      <w:pPr>
        <w:spacing w:after="0" w:line="18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cash equivalents, marketable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securities consist primarily of money market funds, certificates of deposit, asset-backed securities, commercial paper, U.S. government securities and debt securities of corporations which management assesses to be highly liquid. The Company does not hold or issue financial instruments for trading purposes.</w:t>
      </w:r>
    </w:p>
    <w:p>
      <w:pPr>
        <w:spacing w:after="0" w:line="178"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The Company performs ongoing credit evaluations of its customers and adjusts credit limits based upon payment history and customers’ credit worthiness. The Company regularly monitors collections and payments from its customers.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Equivalents and Marketable Debt Securities</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Company considers all highly liquid debt security investments with original maturities of less than three months at the time of purchase to be cash equivalents. Debt security investments that are highly liquid with original maturities at the time of purchase greater than three months are considered marketable debt securities.</w:t>
      </w:r>
    </w:p>
    <w:p>
      <w:pPr>
        <w:spacing w:after="0" w:line="181"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The Company classifies these investments as “available-for-sale” securities carried at fair value, based on quoted market prices of similar assets, with the unrealized gains or losses reported, net of tax, as a separate component of shareholders’ equity and included in accumulated other comprehensive income in the condensed consolidated balance sheets. The amortization of premiums and accretion of discounts and the realized gains and losses are both recorded in other income, net, in the condensed consolidated statements of operations. The Company reviews its investments for possible other-than-temporary impairments on a regular basis. If any loss on investment is believed to be other-than-temporary, a charge will be recorded and a new cost basis in the investment will be established. In evaluating whether a loss on a security is other-than-temporary, the Company considers the following factors: (i) general market conditions, (ii) the duration and extent to which the fair value is less than cost and (iii) the Company’s intent and ability to hold the investment.</w:t>
      </w:r>
    </w:p>
    <w:p>
      <w:pPr>
        <w:spacing w:after="0" w:line="16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For securities in an unrealized loss position which is deemed to be other-than-temporary, the difference between the security’s then-current amortized cost basis and fair value is separated into (i) the amount of the impairment related to the credit loss (i.e., the credit loss component) and (ii) the amount of the impairment related to all other factors (i.e., the non-credit loss component). The credit loss component is recognized in earnings. The non-credit loss component is recognized in accumulated other comprehensive loss. Due to the relative short term nature of the investments, there have been no other-than-temporary impairments recorded to date.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Amounts included in restricted cash represent those required to be set aside to secure certain transactions in a foreign entity. As of April 30, 2019 and January 31, 2019, the restricted cash was immaterial. The following table presents cash, cash equivalents and restricted cash reported on the condensed consolidated balance sheets and the sums are presented on the condensed consolidated statements of cash flows:</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As of</w:t>
            </w: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w w:val="97"/>
              </w:rPr>
              <w:t>April 30, 2019</w:t>
            </w: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January 31, 2019</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w w:val="97"/>
              </w:rPr>
              <w:t>April 30, 2018</w:t>
            </w: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6"/>
              </w:rPr>
              <w:t>January 31, 2018</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80" w:type="dxa"/>
            <w:vAlign w:val="bottom"/>
            <w:gridSpan w:val="4"/>
          </w:tcPr>
          <w:p>
            <w:pPr>
              <w:jc w:val="right"/>
              <w:ind w:right="734"/>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204,444</w:t>
            </w:r>
          </w:p>
        </w:tc>
        <w:tc>
          <w:tcPr>
            <w:tcW w:w="50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194,047</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336,692</w:t>
            </w:r>
          </w:p>
        </w:tc>
        <w:tc>
          <w:tcPr>
            <w:tcW w:w="50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346,672</w:t>
            </w:r>
          </w:p>
        </w:tc>
        <w:tc>
          <w:tcPr>
            <w:tcW w:w="80" w:type="dxa"/>
            <w:vAlign w:val="bottom"/>
            <w:shd w:val="clear" w:color="auto" w:fill="CFF0FC"/>
          </w:tcPr>
          <w:p>
            <w:pPr>
              <w:spacing w:after="0"/>
              <w:rPr>
                <w:sz w:val="21"/>
                <w:szCs w:val="21"/>
                <w:color w:val="auto"/>
              </w:rPr>
            </w:pPr>
          </w:p>
        </w:tc>
      </w:tr>
      <w:tr>
        <w:trPr>
          <w:trHeight w:val="243"/>
        </w:trPr>
        <w:tc>
          <w:tcPr>
            <w:tcW w:w="38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r>
      <w:tr>
        <w:trPr>
          <w:trHeight w:val="209"/>
        </w:trPr>
        <w:tc>
          <w:tcPr>
            <w:tcW w:w="20" w:type="dxa"/>
            <w:vAlign w:val="bottom"/>
          </w:tcPr>
          <w:p>
            <w:pPr>
              <w:spacing w:after="0"/>
              <w:rPr>
                <w:sz w:val="18"/>
                <w:szCs w:val="18"/>
                <w:color w:val="auto"/>
              </w:rPr>
            </w:pPr>
          </w:p>
        </w:tc>
        <w:tc>
          <w:tcPr>
            <w:tcW w:w="38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89"/>
              </w:rPr>
              <w:t>Total as presented in the consolidated statements</w:t>
            </w: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of cash flows</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204,455</w:t>
            </w:r>
          </w:p>
        </w:tc>
        <w:tc>
          <w:tcPr>
            <w:tcW w:w="50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194,058</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336,701</w:t>
            </w:r>
          </w:p>
        </w:tc>
        <w:tc>
          <w:tcPr>
            <w:tcW w:w="50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346,681</w:t>
            </w:r>
          </w:p>
        </w:tc>
        <w:tc>
          <w:tcPr>
            <w:tcW w:w="80" w:type="dxa"/>
            <w:vAlign w:val="bottom"/>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jc w:val="both"/>
        <w:ind w:right="40" w:firstLine="518"/>
        <w:spacing w:after="0" w:line="297" w:lineRule="auto"/>
        <w:rPr>
          <w:sz w:val="20"/>
          <w:szCs w:val="20"/>
          <w:color w:val="auto"/>
        </w:rPr>
      </w:pPr>
      <w:r>
        <w:rPr>
          <w:rFonts w:ascii="Arial" w:cs="Arial" w:eastAsia="Arial" w:hAnsi="Arial"/>
          <w:sz w:val="16"/>
          <w:szCs w:val="16"/>
          <w:color w:val="auto"/>
        </w:rPr>
        <w:t>The Company records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 There were no material inventory losses recognized for the three months ended April 30, 2019 and 2018, respectively.</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Noncancelable Internal-Use Software License</w:t>
      </w:r>
    </w:p>
    <w:p>
      <w:pPr>
        <w:spacing w:after="0" w:line="11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The Company accounts for a noncancelable on premise internal-use software license as the acquisition of an intangible asset and the incurrence of a liability to the extent that all or a portion of the software licensing fees are not paid on or before the license acquisition date. The intangible asset and related liability are recorded at net present value and interest expense is recorded over the payment term.</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Effective February 1, 2019, the Company adopted Accounting Standards Codification (“ASC”) Topic 842, Leases, using the alternative transition method with an adjustment to the opening balance in the period of adoption without adjustment of comparative period financial statements. Under this new guidance, the Company recognizes leases as right-of-use (“ROU”) assets and corresponding lease liabilities at the lease commencement date based on the present value of future lease payments, while recognizing lease expenses under straight-line method through the lease term. The Company also elected the other available practical expedients, and has elected not to recognize ROU assets and lease liabilities that arise from short-term (12 months or less) leases and not to reassess the following for existing leases as of February 1, 2019: (i) whether contracts are or contain leases, (ii) lease classification, and (iii) initial direct costs. The Company does not combine lease components with non-lease components, and as a result, the non-lease components are accounted for separately. In determining the present value of lease payments, the Company uses the implicit interest rate if readily determinable. When the implicit rate is not readily determinable, the Company uses its incremental borrowing rate based on the information available at the lease commencement date. The Company's leases mainly include its worldwide office facilities which are all classified as operating leases. Certain leases include renewal options that are under the Company's discretion. The renewal options are included in the ROU and liability calculation if it is reasonably certain that the Company will exercise the option. As of February 1, 2019, the Company recognized approximately $8.6 million of ROU assets, net of previously recognized prepaid rent and accrued liabilities, and corresponding lease liabilities of $8.7 million. The Company's finance leases are immaterial.</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0" w:firstLine="518"/>
        <w:spacing w:after="0" w:line="255" w:lineRule="auto"/>
        <w:rPr>
          <w:sz w:val="20"/>
          <w:szCs w:val="20"/>
          <w:color w:val="auto"/>
        </w:rPr>
      </w:pPr>
      <w:r>
        <w:rPr>
          <w:rFonts w:ascii="Arial" w:cs="Arial" w:eastAsia="Arial" w:hAnsi="Arial"/>
          <w:sz w:val="18"/>
          <w:szCs w:val="18"/>
          <w:color w:val="auto"/>
        </w:rPr>
        <w:t>Effective February 1, 2018, the Company adopted ASC Topic 606, Revenue from Contracts with Customers. As a result, the Company recognizes product revenue upon shipment and transfer of control to distributors (known as “sell-in” revenue recognition) rather than shipment to the end customers (known as “sell-through” revenue recognition) based on its estimate of the consideration it expects to receive.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w:t>
      </w:r>
    </w:p>
    <w:p>
      <w:pPr>
        <w:spacing w:after="0" w:line="85"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The sale of semiconductor products accounts for the substantial majority of the Company’s consolidated revenue. Sales agreements with customers are renewable periodically and contain terms and conditions with respect to payment, delivery, warranty, supply and other rights. The Company considers an accepted customer purchase order, governed by sales agreement, to be the contract with the customer. For each contract, the Company considers the promise to transfer tangible products to be the identified performance obligation. Product sales contracts may include volume-based tiered pricing or rebates that are fulfilled in cash or product. In determining the transaction price, the Company accounts for the right of returns, cash rebates, commissions and other pricing adjustments as variable consideration and estimates these amounts based on the expected amount to be provided to customers and reduces the revenue recognized. The Company estimates sales returns and rebates based on the Company’s historical patterns of return and pricing credits. As the Company’s standard payment terms are 30 days to 60 days, the contracts have no financing component. Under ASC 606, the Company estimates the total consideration to be received by using the expected value method for each contract, computes weighted average selling price for each unit shipped in cases where there is a material right due to the presence of volume-based tiered pricing, allocates the total consideration between the identified performance obligations, and recognizes revenue when control of its goods and services is transferred to its customers. The Company considers product control to be transferred at shipment or delivery because the Company has a present right to payment at that time, the customer has legal title to the asset, the Company has transferred physical possession of the asset, and the customer has significant risk and rewards of ownership of the asset.</w:t>
      </w:r>
    </w:p>
    <w:p>
      <w:pPr>
        <w:spacing w:after="0" w:line="67"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The Company also enters into fixed-price engineering service agreements with certain customers.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the Company’s SoC into the customer’s product. Accordingly, the Company determines that they are not separately identifiable and shall be treated as a single performance obligation. Customers usually pay based on milestones achieved. Because payments received do not correspond directly with the value of the Company’s performance to date, for fixed-price engineering services arrangements, revenue is recognized using the time-based straight line method, which best depicts the Company’s performance toward complete satisfaction of the performance obligation based on the nature of such professional services. Revenues from engineering service agreements were not material for the three months ended April 30, 2019 and 2018, respectively.</w:t>
      </w:r>
    </w:p>
    <w:p>
      <w:pPr>
        <w:spacing w:after="0" w:line="74"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Company records contract assets when revenue is recognized prior to invoicing. The Company’s contract liabilities are primarily related to the portion of transaction price that exceeds the weighted average selling price for products sold to date under tiered-pricing contracts which contain material rights. These contract liabilities are expected to be recognized over the course of the contract when products are delivered for future pricing below the weighted average selling price of the contract. For the three months ended April 30, 2019 and 2018, the Company did not recognize any material revenue adjustment related to performance obligations satisfied in prior periods released from these contract liabilities. As of April 30, 2019 and January 31, 2019, the contract liabilities were not material. Additionally, the transaction price allocated to unsatisfied, or partially unsatisfied, purchase orders for contracts that are greater than a year was not material as of April 30, 2019 and January 31, 2019, respectively.</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760" w:firstLine="518"/>
        <w:spacing w:after="0" w:line="342" w:lineRule="auto"/>
        <w:rPr>
          <w:sz w:val="20"/>
          <w:szCs w:val="20"/>
          <w:color w:val="auto"/>
        </w:rPr>
      </w:pPr>
      <w:r>
        <w:rPr>
          <w:rFonts w:ascii="Arial" w:cs="Arial" w:eastAsia="Arial" w:hAnsi="Arial"/>
          <w:sz w:val="16"/>
          <w:szCs w:val="16"/>
          <w:color w:val="auto"/>
        </w:rPr>
        <w:t>Cost of revenue includes cost of materials, cost associated with packaging and assembly, testing and shipping, cost of personnel, stock-based compensation, logistics and quality assurance, warranty cost, royalty expense, write-downs of inventories and allocation of overhead.</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The Company records income taxes using the asset and liability method, which requires the recognition of deferred tax assets and liabilities for the expected future tax consequences of events that have been recognized in its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 w:name="page12"/>
    <w:bookmarkEnd w:id="11"/>
    <w:p>
      <w:pPr>
        <w:ind w:right="40" w:firstLine="518"/>
        <w:spacing w:after="0" w:line="302" w:lineRule="auto"/>
        <w:rPr>
          <w:sz w:val="20"/>
          <w:szCs w:val="20"/>
          <w:color w:val="auto"/>
        </w:rPr>
      </w:pPr>
      <w:r>
        <w:rPr>
          <w:rFonts w:ascii="Arial" w:cs="Arial" w:eastAsia="Arial" w:hAnsi="Arial"/>
          <w:sz w:val="16"/>
          <w:szCs w:val="16"/>
          <w:color w:val="auto"/>
        </w:rPr>
        <w:t>The Company applies authoritative guidance for the accounting for uncertainty in income taxes. The guidance requires that tax effects of a position be recognized only if it is “more likely than not” to be sustained based solely on its technical merits as of the reporting date. Upon estimating its tax positions and tax benefits, the Company considers and evaluates numerous factors, which may require periodic adjustments and which may not reflect the final tax liabilities. The Company adjusts its financial statements to reflect only those tax positions that are more likely than not to be sustained under examination.</w:t>
      </w:r>
    </w:p>
    <w:p>
      <w:pPr>
        <w:spacing w:after="0" w:line="154"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As part of the process of preparing condensed consolidated financial statements, the Company is required to estimate its taxes in each of the jurisdictions in which it operates. The Company estimates actual current tax exposure together with assessing temporary differences resulting from differing treatment of items, such as accruals and allowances not currently deductible for tax purposes. These differences result in deferred tax assets, which are included in the condensed consolidated balance sheets. In general, deferred tax assets represent future tax benefits to be received when certain expenses previously recognized in the condensed consolidated statements of operations become deductible expenses under applicable income tax laws, or loss or credit carryforwards are utilized.</w:t>
      </w:r>
    </w:p>
    <w:p>
      <w:pPr>
        <w:spacing w:after="0" w:line="193" w:lineRule="exact"/>
        <w:rPr>
          <w:sz w:val="20"/>
          <w:szCs w:val="20"/>
          <w:color w:val="auto"/>
        </w:rPr>
      </w:pPr>
    </w:p>
    <w:p>
      <w:pPr>
        <w:ind w:right="20" w:firstLine="518"/>
        <w:spacing w:after="0" w:line="308" w:lineRule="auto"/>
        <w:rPr>
          <w:sz w:val="20"/>
          <w:szCs w:val="20"/>
          <w:color w:val="auto"/>
        </w:rPr>
      </w:pPr>
      <w:r>
        <w:rPr>
          <w:rFonts w:ascii="Arial" w:cs="Arial" w:eastAsia="Arial" w:hAnsi="Arial"/>
          <w:sz w:val="17"/>
          <w:szCs w:val="17"/>
          <w:color w:val="auto"/>
        </w:rPr>
        <w:t>In assessing whether deferred tax assets may be realized, the Company considers whether it is more likely than not that some portion or all of deferred tax assets will be realized. The ultimate realization of deferred tax assets is dependent upon the generation of future taxable income.</w:t>
      </w:r>
    </w:p>
    <w:p>
      <w:pPr>
        <w:spacing w:after="0" w:line="147"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The Company makes estimates and judgments about its future taxable income based on assumptions that are consistent with its plans and estimates. Should the actual amounts differ from estimates, the amount of valuation allowance could be materially impacted. Any adjustment to the deferred tax asset valuation allowance would be recorded in the condensed consolidated income statement for the periods in which the adjustment is determined to be required.</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Basic earnings (losses) per share is computed by dividing net income (loss) available to ordinary shareholders by the weighted-average number of ordinary shares outstanding during the period. Diluted earnings (losses) per share is computed by dividing net income (loss) available to ordinary shareholders by the weighted-average number of ordinary shares outstanding during the period increased to include the number of additional ordinary shares that would have been outstanding if the potentially dilutive securities had been issued. Potentially dilutive securities include outstanding stock options, shares to be purchased under the Company’s employee stock purchase plan, unvested restricted stock and restricted stock units. The dilutive effect of potentially dilutive securities is reflected in diluted earnings (losses) per share by application of the treasury stock method.</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Comprehensive income (loss) includes unrealized gains or losses from available-for-sale securities that are excluded from net income (loss).</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In June 2016, the FASB issued ASU 2016-13, Financial Instruments – Credit Losses (Topic 326), to introduce a new impairment model for recognizing credit losses on financial instruments based on an estimate of current expected credit losses (“ECL”). Under the new model, an entity is required to estimate ECL on available-for-sale (AFS) debt securities only when the fair value is below the amortized cost of the asset and is no longer based on an impairment being “other-than-temporary”. The new model also requires the impairment calculation on an individual security level and requires an entity use present value of cash flows when estimating the ECL. The credit-related losses are required to be recognized through earnings and non-credit related losses are reported in other comprehensive income. In April 2019, the FASB further clarified the scope of the credit losses standard and addressed issues related to accrued interest receivable balances, recoveries, variable interest rates and prepayment. The ASU will be effective for public entities in fiscal years beginning after December 15, 2019, including interim periods within those fiscal years. The new guidance will require modified retrospective application to all outstanding instruments, with a cumulative effect adjustment recorded to opening retained earnings as of the beginning of the first period in which the guidance becomes effective. The Company does not believe the adoption of this new guidance will have a material impact on its consolidated financial statements.</w:t>
      </w:r>
    </w:p>
    <w:p>
      <w:pPr>
        <w:spacing w:after="0" w:line="18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of Goodwill Impairment, to eliminate the requirement to calculate the implied fair value of goodwill to measure a goodwill impairment charge. Instead, entities will record an impairment charge based on the excess of a reporting unit’s carrying amount over its fair value. This new guidance will be applied prospectively and is effective for annual and interim periods beginning after December 15, 2019. The Company does not believe the adoption of this new guidance will have a material impact on its financial position, results of operations and disclosures.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2" w:name="page13"/>
    <w:bookmarkEnd w:id="12"/>
    <w:p>
      <w:pPr>
        <w:ind w:right="160" w:firstLine="518"/>
        <w:spacing w:after="0" w:line="255" w:lineRule="auto"/>
        <w:rPr>
          <w:sz w:val="20"/>
          <w:szCs w:val="20"/>
          <w:color w:val="auto"/>
        </w:rPr>
      </w:pPr>
      <w:r>
        <w:rPr>
          <w:rFonts w:ascii="Arial" w:cs="Arial" w:eastAsia="Arial" w:hAnsi="Arial"/>
          <w:sz w:val="18"/>
          <w:szCs w:val="18"/>
          <w:color w:val="auto"/>
        </w:rPr>
        <w:t>In August 2018, the FASB issued 2018-13, Fair Value Measurement (Topic 820): Disclosure Framework – Changes to the Disclosure Requirements for Fair Value Measurement. Under this new guidance, the entities will no longer be required to disclose the amount of and the reasons for transfers between Level 1 and Level 2 of the fair value hierarchy, but will be required to disclose the range and weighted average used to develop significant unobservable inputs for Level 3 fair value measurements. The guidance is effective for fiscal years beginning after December 15, 2019 and for the interim periods within those fiscal years. Early adoption is permitted. The Company does not believe the adoption of this new guidance will have a material impact on its financial position, results of operations and disclosures.</w:t>
      </w:r>
    </w:p>
    <w:p>
      <w:pPr>
        <w:spacing w:after="0" w:line="193"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In August 2018, the FASB issued 2018-15, Intangibles – Goodwill and Other – Internal-Use Software (Subtopic 350-40): Customer’s Accounting for Implementation Costs Incurred in a Cloud Computing Arrangement That Is a Service Contract. Under this new guidance, the entities are required to capitalize implementation costs related to a hosting arrangement that is a service contract and amortize the costs over the term of the hosting arrangement, beginning when the module or component of the hosting arrangement is ready for its intended use. The guidance is effective for fiscal years beginning after December 15, 2019 and for the interim periods within those fiscal years. Early adoption is permitted. The Company does not believe the adoption of this new guidance will have a material impact on its financial position, results of operations and disclosures.</w:t>
      </w:r>
    </w:p>
    <w:p>
      <w:pPr>
        <w:spacing w:after="0" w:line="178"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In April 2019, the FASB issued ASU 2019-04, Codification Improvements to Topic 326, Financial Instruments – Credit Losses, Topic 815, Derivatives and Hedging, and Topic 25, Financial Instruments. The new guidance further clarifies that equity instruments without readily determinable fair values for which an entity has elected the measurement alternative should be remeasured to fair value as of the date that an observable transaction occurred. The FASB also amended the guidance to clarify that the nonrecurring fair value disclosure is applicable to equity instruments accounted for under the measurement alternative. The ASU will be effective for public entities in fiscal years beginning after December 15, 2019, including interim periods within those fiscal years, with early adoption permitted and requires a prospective method for those related to equity securities without readily determinable fair values that are measured using the measurement alternative. The Company does not believe the adoption of this new amendment will have a material impact on its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121"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The Company invests a portion of its cash in debt securities that are denominated in United States dollars. The investment portfolio consists of money market funds, certificates of deposit, asset-backed securities, commercial paper, U.S. government securities, and debt securities of corporations. All of the investments are classified as available-for-sale securities and reported at fair value in the condensed consolidated balance sheets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As of April 30, 2019</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Amortized Cost</w:t>
            </w: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Unrealized Gains</w:t>
            </w:r>
          </w:p>
        </w:tc>
        <w:tc>
          <w:tcPr>
            <w:tcW w:w="14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Unrealized Losses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9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10,501</w:t>
            </w:r>
          </w:p>
        </w:tc>
        <w:tc>
          <w:tcPr>
            <w:tcW w:w="5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56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67,998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67,998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Corporate bonds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90,877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91,208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Asset-backed securities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20,518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20,514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As of January 31, 2019</w:t>
            </w: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Amortized Cost</w:t>
            </w: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Unrealized Gains</w:t>
            </w:r>
          </w:p>
        </w:tc>
        <w:tc>
          <w:tcPr>
            <w:tcW w:w="14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Unrealized Losses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9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8,914</w:t>
            </w:r>
          </w:p>
        </w:tc>
        <w:tc>
          <w:tcPr>
            <w:tcW w:w="50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56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7,012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68,233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68,233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Corporate bonds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87,250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87,360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Asset-backed securities</w:t>
            </w: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21,993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21,983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205,106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3" w:name="page14"/>
    <w:bookmarkEnd w:id="13"/>
    <w:tbl>
      <w:tblPr>
        <w:tblLayout w:type="fixed"/>
        <w:tblInd w:w="172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4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30, 2019</w:t>
            </w:r>
          </w:p>
        </w:tc>
        <w:tc>
          <w:tcPr>
            <w:tcW w:w="12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2019</w:t>
            </w:r>
          </w:p>
        </w:tc>
      </w:tr>
      <w:tr>
        <w:trPr>
          <w:trHeight w:val="156"/>
        </w:trPr>
        <w:tc>
          <w:tcPr>
            <w:tcW w:w="4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60" w:type="dxa"/>
            <w:vAlign w:val="bottom"/>
            <w:tcBorders>
              <w:top w:val="single" w:sz="8" w:color="auto"/>
            </w:tcBorders>
            <w:gridSpan w:val="4"/>
          </w:tcPr>
          <w:p>
            <w:pPr>
              <w:jc w:val="right"/>
              <w:ind w:right="954"/>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4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Included in cash equivalents</w:t>
            </w: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45,020</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40,245</w:t>
            </w:r>
          </w:p>
        </w:tc>
        <w:tc>
          <w:tcPr>
            <w:tcW w:w="60" w:type="dxa"/>
            <w:vAlign w:val="bottom"/>
            <w:shd w:val="clear" w:color="auto" w:fill="CFF0FC"/>
          </w:tcPr>
          <w:p>
            <w:pPr>
              <w:spacing w:after="0"/>
              <w:rPr>
                <w:sz w:val="21"/>
                <w:szCs w:val="21"/>
                <w:color w:val="auto"/>
              </w:rPr>
            </w:pPr>
          </w:p>
        </w:tc>
      </w:tr>
      <w:tr>
        <w:trPr>
          <w:trHeight w:val="243"/>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Included in marketable debt securities</w:t>
            </w:r>
          </w:p>
        </w:tc>
        <w:tc>
          <w:tcPr>
            <w:tcW w:w="4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161,732</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164,861</w:t>
            </w:r>
          </w:p>
        </w:tc>
        <w:tc>
          <w:tcPr>
            <w:tcW w:w="60" w:type="dxa"/>
            <w:vAlign w:val="bottom"/>
            <w:tcBorders>
              <w:bottom w:val="single" w:sz="8" w:color="CFF0FC"/>
            </w:tcBorders>
          </w:tcPr>
          <w:p>
            <w:pPr>
              <w:spacing w:after="0"/>
              <w:rPr>
                <w:sz w:val="21"/>
                <w:szCs w:val="21"/>
                <w:color w:val="auto"/>
              </w:rPr>
            </w:pPr>
          </w:p>
        </w:tc>
      </w:tr>
      <w:tr>
        <w:trPr>
          <w:trHeight w:val="237"/>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Total cash equivalents and marketable debt securities</w:t>
            </w: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206,752</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205,106</w:t>
            </w:r>
          </w:p>
        </w:tc>
        <w:tc>
          <w:tcPr>
            <w:tcW w:w="60" w:type="dxa"/>
            <w:vAlign w:val="bottom"/>
            <w:shd w:val="clear" w:color="auto" w:fill="CFF0FC"/>
          </w:tcPr>
          <w:p>
            <w:pPr>
              <w:spacing w:after="0"/>
              <w:rPr>
                <w:sz w:val="20"/>
                <w:szCs w:val="20"/>
                <w:color w:val="auto"/>
              </w:rPr>
            </w:pP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contractual maturities of the investments at April 30, 2019 and January 31, 2019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979"/>
              <w:spacing w:after="0"/>
              <w:rPr>
                <w:sz w:val="20"/>
                <w:szCs w:val="20"/>
                <w:color w:val="auto"/>
              </w:rPr>
            </w:pPr>
            <w:r>
              <w:rPr>
                <w:rFonts w:ascii="Arial" w:cs="Arial" w:eastAsia="Arial" w:hAnsi="Arial"/>
                <w:sz w:val="14"/>
                <w:szCs w:val="14"/>
                <w:b w:val="1"/>
                <w:bCs w:val="1"/>
                <w:color w:val="auto"/>
                <w:w w:val="91"/>
              </w:rPr>
              <w:t>As of</w:t>
            </w:r>
          </w:p>
        </w:tc>
        <w:tc>
          <w:tcPr>
            <w:tcW w:w="1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4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April 30, 2019</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January 31, 2019</w:t>
            </w:r>
          </w:p>
        </w:tc>
        <w:tc>
          <w:tcPr>
            <w:tcW w:w="60" w:type="dxa"/>
            <w:vAlign w:val="bottom"/>
          </w:tcPr>
          <w:p>
            <w:pPr>
              <w:spacing w:after="0"/>
              <w:rPr>
                <w:sz w:val="19"/>
                <w:szCs w:val="19"/>
                <w:color w:val="auto"/>
              </w:rPr>
            </w:pPr>
          </w:p>
        </w:tc>
      </w:tr>
      <w:tr>
        <w:trPr>
          <w:trHeight w:val="223"/>
        </w:trPr>
        <w:tc>
          <w:tcPr>
            <w:tcW w:w="4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r>
      <w:tr>
        <w:trPr>
          <w:trHeight w:val="24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Due within one year</w:t>
            </w: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155,140</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151,991</w:t>
            </w:r>
          </w:p>
        </w:tc>
        <w:tc>
          <w:tcPr>
            <w:tcW w:w="60" w:type="dxa"/>
            <w:vAlign w:val="bottom"/>
            <w:shd w:val="clear" w:color="auto" w:fill="CFF0FC"/>
          </w:tcPr>
          <w:p>
            <w:pPr>
              <w:spacing w:after="0"/>
              <w:rPr>
                <w:sz w:val="21"/>
                <w:szCs w:val="21"/>
                <w:color w:val="auto"/>
              </w:rPr>
            </w:pPr>
          </w:p>
        </w:tc>
      </w:tr>
      <w:tr>
        <w:trPr>
          <w:trHeight w:val="243"/>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within one to three years</w:t>
            </w:r>
          </w:p>
        </w:tc>
        <w:tc>
          <w:tcPr>
            <w:tcW w:w="4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51,612</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53,115</w:t>
            </w:r>
          </w:p>
        </w:tc>
        <w:tc>
          <w:tcPr>
            <w:tcW w:w="60" w:type="dxa"/>
            <w:vAlign w:val="bottom"/>
            <w:tcBorders>
              <w:bottom w:val="single" w:sz="8" w:color="CFF0FC"/>
            </w:tcBorders>
          </w:tcPr>
          <w:p>
            <w:pPr>
              <w:spacing w:after="0"/>
              <w:rPr>
                <w:sz w:val="21"/>
                <w:szCs w:val="21"/>
                <w:color w:val="auto"/>
              </w:rPr>
            </w:pPr>
          </w:p>
        </w:tc>
      </w:tr>
      <w:tr>
        <w:trPr>
          <w:trHeight w:val="237"/>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Total cash equivalents and marketable debt securities</w:t>
            </w: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206,752</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205,106</w:t>
            </w:r>
          </w:p>
        </w:tc>
        <w:tc>
          <w:tcPr>
            <w:tcW w:w="60" w:type="dxa"/>
            <w:vAlign w:val="bottom"/>
            <w:shd w:val="clear" w:color="auto" w:fill="CFF0FC"/>
          </w:tcPr>
          <w:p>
            <w:pPr>
              <w:spacing w:after="0"/>
              <w:rPr>
                <w:sz w:val="20"/>
                <w:szCs w:val="20"/>
                <w:color w:val="auto"/>
              </w:rPr>
            </w:pP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The unrealized losses on the available-for-sale securities were primarily caused by fluctuations in market value and interest rates as a result of the economic environment. As the decline in market value was attributable to changes in market conditions and not credit quality, and because the Company neither intended to sell nor was it more likely than not that it will be required to sell these investments prior to a recovery of par value, the Company did not consider these investments to be other-than temporarily impaired as of April 30, 2019 and January 31, 2019, respectively.</w:t>
      </w:r>
    </w:p>
    <w:p>
      <w:pPr>
        <w:spacing w:after="0" w:line="17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following fair value hierarchy is applied for disclosure of the inputs used to measure fair value. This hierarchy prioritizes the inputs into three broad levels as follows: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62"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Level 3—Unobservable inputs based on the Company’s own assumptions used to measure assets and liabilities at fair value. The inputs require significant management judgment or estimation.</w:t>
      </w:r>
    </w:p>
    <w:p>
      <w:pPr>
        <w:spacing w:after="0" w:line="17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measures the fair value of money market funds and certificates of deposit using quoted prices in active markets for identical assets and classifies them within Level 1. The respective fair values of the Company’s investments in other debt securities are obtained based on quoted prices for similar assets in active markets and are classified within Level 2.</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98" w:right="37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7"/>
          <w:szCs w:val="17"/>
          <w:color w:val="auto"/>
        </w:rPr>
        <w:t>The following table presents the fair value of the financial instruments measured on a recurring basis as of April 30, 2019 and January 31, 2019:</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w w:val="94"/>
              </w:rPr>
              <w:t>As of April 30, 2019</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307"/>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8"/>
          </w:tcPr>
          <w:p>
            <w:pPr>
              <w:jc w:val="center"/>
              <w:ind w:right="4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94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10,501</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10,501</w:t>
            </w:r>
          </w:p>
        </w:tc>
        <w:tc>
          <w:tcPr>
            <w:tcW w:w="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1,006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67,998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67,998</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91,208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91,208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Asset-backed securities</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15,525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15,525</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U.S. government securities</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20,514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20,514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0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206,752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11,507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195,245</w:t>
            </w: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w w:val="92"/>
              </w:rPr>
              <w:t>As of January 31, 2019</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307"/>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40" w:type="dxa"/>
            <w:vAlign w:val="bottom"/>
            <w:gridSpan w:val="8"/>
          </w:tcPr>
          <w:p>
            <w:pPr>
              <w:jc w:val="center"/>
              <w:ind w:right="4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94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8,914</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8,914</w:t>
            </w:r>
          </w:p>
        </w:tc>
        <w:tc>
          <w:tcPr>
            <w:tcW w:w="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Certificates of Deposit</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7,012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7,012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68,233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68,233</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87,360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87,360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Asset-backed securities</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11,604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11,604</w:t>
            </w:r>
          </w:p>
        </w:tc>
        <w:tc>
          <w:tcPr>
            <w:tcW w:w="22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U.S. government securities</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21,983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21,983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0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 cash equivalents and marketable debt securities</w:t>
            </w:r>
          </w:p>
        </w:tc>
        <w:tc>
          <w:tcPr>
            <w:tcW w:w="6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205,106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15,926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189,180</w:t>
            </w:r>
          </w:p>
        </w:tc>
        <w:tc>
          <w:tcPr>
            <w:tcW w:w="22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28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20" w:type="dxa"/>
            <w:vAlign w:val="bottom"/>
            <w:gridSpan w:val="5"/>
          </w:tcPr>
          <w:p>
            <w:pPr>
              <w:jc w:val="right"/>
              <w:spacing w:after="0"/>
              <w:rPr>
                <w:sz w:val="20"/>
                <w:szCs w:val="20"/>
                <w:color w:val="auto"/>
              </w:rPr>
            </w:pPr>
            <w:r>
              <w:rPr>
                <w:rFonts w:ascii="Arial" w:cs="Arial" w:eastAsia="Arial" w:hAnsi="Arial"/>
                <w:sz w:val="18"/>
                <w:szCs w:val="18"/>
                <w:color w:val="auto"/>
                <w:w w:val="99"/>
              </w:rPr>
              <w:t>Inventories at April 30, 2019 and January 31, 2019 consisted of the following:</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As of</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Borders>
              <w:bottom w:val="single" w:sz="8" w:color="auto"/>
            </w:tcBorders>
            <w:gridSpan w:val="4"/>
          </w:tcPr>
          <w:p>
            <w:pPr>
              <w:jc w:val="right"/>
              <w:ind w:right="238"/>
              <w:spacing w:after="0"/>
              <w:rPr>
                <w:sz w:val="20"/>
                <w:szCs w:val="20"/>
                <w:color w:val="auto"/>
              </w:rPr>
            </w:pPr>
            <w:r>
              <w:rPr>
                <w:rFonts w:ascii="Arial" w:cs="Arial" w:eastAsia="Arial" w:hAnsi="Arial"/>
                <w:sz w:val="14"/>
                <w:szCs w:val="14"/>
                <w:b w:val="1"/>
                <w:bCs w:val="1"/>
                <w:color w:val="auto"/>
              </w:rPr>
              <w:t>April 30, 2019</w:t>
            </w: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8"/>
              </w:rPr>
              <w:t>January 31, 2019</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6"/>
          </w:tcPr>
          <w:p>
            <w:pPr>
              <w:jc w:val="right"/>
              <w:ind w:right="65"/>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Work-in-progress</w:t>
            </w: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327"/>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9,809</w:t>
            </w:r>
          </w:p>
        </w:tc>
        <w:tc>
          <w:tcPr>
            <w:tcW w:w="3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9,430</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6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7,826</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8,822</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17,635</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18,252</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Depreciation expense was approximately $0.7 million and $0.6 million for the three months ended April 30, 2019 and 2018, respectively. Property and equipment at April 30, 2019 and January 31, 2019 consisted of the following:</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4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April 30, 2019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January 31, 2019</w:t>
            </w:r>
          </w:p>
        </w:tc>
      </w:tr>
      <w:tr>
        <w:trPr>
          <w:trHeight w:val="156"/>
        </w:trPr>
        <w:tc>
          <w:tcPr>
            <w:tcW w:w="4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gridSpan w:val="5"/>
          </w:tcPr>
          <w:p>
            <w:pPr>
              <w:jc w:val="right"/>
              <w:ind w:right="952"/>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8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9,379</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9,098</w:t>
            </w:r>
          </w:p>
        </w:tc>
        <w:tc>
          <w:tcPr>
            <w:tcW w:w="80" w:type="dxa"/>
            <w:vAlign w:val="bottom"/>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5,703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5,659</w:t>
            </w:r>
          </w:p>
        </w:tc>
        <w:tc>
          <w:tcPr>
            <w:tcW w:w="8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80" w:type="dxa"/>
            <w:vAlign w:val="bottom"/>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2,331</w:t>
            </w:r>
          </w:p>
        </w:tc>
        <w:tc>
          <w:tcPr>
            <w:tcW w:w="8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7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FF0FC"/>
          </w:tcPr>
          <w:p>
            <w:pPr>
              <w:spacing w:after="0"/>
              <w:rPr>
                <w:sz w:val="19"/>
                <w:szCs w:val="19"/>
                <w:color w:val="auto"/>
              </w:rPr>
            </w:pPr>
          </w:p>
        </w:tc>
      </w:tr>
      <w:tr>
        <w:trPr>
          <w:trHeight w:val="223"/>
        </w:trPr>
        <w:tc>
          <w:tcPr>
            <w:tcW w:w="4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18,687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18,387</w:t>
            </w:r>
          </w:p>
        </w:tc>
        <w:tc>
          <w:tcPr>
            <w:tcW w:w="8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(12,304)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(11,659)</w:t>
            </w:r>
          </w:p>
        </w:tc>
      </w:tr>
      <w:tr>
        <w:trPr>
          <w:trHeight w:val="223"/>
        </w:trPr>
        <w:tc>
          <w:tcPr>
            <w:tcW w:w="4240" w:type="dxa"/>
            <w:vAlign w:val="bottom"/>
          </w:tcPr>
          <w:p>
            <w:pPr>
              <w:ind w:left="240"/>
              <w:spacing w:after="0"/>
              <w:rPr>
                <w:sz w:val="20"/>
                <w:szCs w:val="20"/>
                <w:color w:val="auto"/>
              </w:rPr>
            </w:pPr>
            <w:r>
              <w:rPr>
                <w:rFonts w:ascii="Arial" w:cs="Arial" w:eastAsia="Arial" w:hAnsi="Arial"/>
                <w:sz w:val="18"/>
                <w:szCs w:val="18"/>
                <w:color w:val="auto"/>
              </w:rPr>
              <w:t>Total property and equipment, net</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6,728</w:t>
            </w:r>
          </w:p>
        </w:tc>
        <w:tc>
          <w:tcPr>
            <w:tcW w:w="8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5. Intangible Assets</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Intangible assets primarily consist of $4.1 million of in-process research and development (“IPR&amp;D”) from the acquisition of VisLab S.r.l., or VisLab, in June 2015 and $6.0 million of noncancelable software licenses, net of amortization expense. Acquired IPR&amp;D is capitalized at fair value and the amortization commences upon completion of the underlying projects. When a project underlying reported IPR&amp;D is completed, the corresponding amount of IPR&amp;D is reclassified as an amortizable purchased intangible asset and is amortized over its estimated useful life. As of April 30, 2019, there was no IPR&amp;D amortized. The Company will determine the project incorporating the VisLab IPR&amp;D to be completed when a related chip begins mass production to address the level 3 and above advanced driving assistance systems markets.</w:t>
      </w:r>
    </w:p>
    <w:p>
      <w:pPr>
        <w:spacing w:after="0" w:line="19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Company enters into certain internal-use noncancelable software license agreements with third parties from time-to-time. The licenses have been capitalized as intangible assets, and the corresponding future payments have been recorded as liabilities at net present value. As of April 30, 2019, $4.2 million was recorded in accrued and other current liabilities and $0.5 million was recorded in other long-term liabilities in the condensed consolidated balance sheets.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amounts of intangible assets as of April 30, 2019 and January 31, 2019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right"/>
              <w:ind w:right="7"/>
              <w:spacing w:after="0"/>
              <w:rPr>
                <w:sz w:val="20"/>
                <w:szCs w:val="20"/>
                <w:color w:val="auto"/>
              </w:rPr>
            </w:pPr>
            <w:r>
              <w:rPr>
                <w:rFonts w:ascii="Arial" w:cs="Arial" w:eastAsia="Arial" w:hAnsi="Arial"/>
                <w:sz w:val="14"/>
                <w:szCs w:val="14"/>
                <w:b w:val="1"/>
                <w:bCs w:val="1"/>
                <w:color w:val="auto"/>
              </w:rPr>
              <w:t>As of April 30, 2019</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As of January 31, 2019</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59"/>
              <w:spacing w:after="0" w:line="133" w:lineRule="exact"/>
              <w:rPr>
                <w:sz w:val="20"/>
                <w:szCs w:val="20"/>
                <w:color w:val="auto"/>
              </w:rPr>
            </w:pPr>
            <w:r>
              <w:rPr>
                <w:rFonts w:ascii="Arial" w:cs="Arial" w:eastAsia="Arial" w:hAnsi="Arial"/>
                <w:sz w:val="14"/>
                <w:szCs w:val="14"/>
                <w:b w:val="1"/>
                <w:bCs w:val="1"/>
                <w:color w:val="auto"/>
                <w:w w:val="88"/>
              </w:rPr>
              <w:t>Gross</w:t>
            </w:r>
          </w:p>
        </w:tc>
        <w:tc>
          <w:tcPr>
            <w:tcW w:w="110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88"/>
              </w:rPr>
              <w:t>Gross</w:t>
            </w:r>
          </w:p>
        </w:tc>
        <w:tc>
          <w:tcPr>
            <w:tcW w:w="11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1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1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gridSpan w:val="4"/>
          </w:tcPr>
          <w:p>
            <w:pPr>
              <w:ind w:left="16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4"/>
          </w:tcPr>
          <w:p>
            <w:pPr>
              <w:jc w:val="right"/>
              <w:ind w:right="319"/>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3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3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Internal-use software licenses</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14,955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(8,921)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14,448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(7,612)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acquired intangible assets</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(8,921</w:t>
            </w:r>
          </w:p>
        </w:tc>
        <w:tc>
          <w:tcPr>
            <w:tcW w:w="100" w:type="dxa"/>
            <w:vAlign w:val="bottom"/>
            <w:tcBorders>
              <w:top w:val="single" w:sz="8" w:color="CFF0FC"/>
              <w:bottom w:val="single" w:sz="8" w:color="CFF0FC"/>
            </w:tcBorders>
            <w:shd w:val="clear" w:color="auto" w:fill="CFF0FC"/>
          </w:tcPr>
          <w:p>
            <w:pPr>
              <w:jc w:val="right"/>
              <w:ind w:right="20"/>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18,548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(7,612</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518"/>
        <w:spacing w:after="0" w:line="308" w:lineRule="auto"/>
        <w:rPr>
          <w:sz w:val="20"/>
          <w:szCs w:val="20"/>
          <w:color w:val="auto"/>
        </w:rPr>
      </w:pPr>
      <w:r>
        <w:rPr>
          <w:rFonts w:ascii="Arial" w:cs="Arial" w:eastAsia="Arial" w:hAnsi="Arial"/>
          <w:sz w:val="17"/>
          <w:szCs w:val="17"/>
          <w:color w:val="auto"/>
        </w:rPr>
        <w:t>The amortization expense related to these software licenses was approximately $1.3 million and $1.1 million for the three months ended April 30, 2019 and 2018, respectively. The estimated future amortization expense of these software licenses as of April 30, 2019 is as follows:</w:t>
      </w:r>
    </w:p>
    <w:p>
      <w:pPr>
        <w:spacing w:after="0" w:line="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Fiscal Year</w:t>
            </w:r>
          </w:p>
        </w:tc>
        <w:tc>
          <w:tcPr>
            <w:tcW w:w="4580" w:type="dxa"/>
            <w:vAlign w:val="bottom"/>
            <w:vMerge w:val="restart"/>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April 30, 2019</w:t>
            </w:r>
          </w:p>
        </w:tc>
        <w:tc>
          <w:tcPr>
            <w:tcW w:w="0" w:type="dxa"/>
            <w:vAlign w:val="bottom"/>
          </w:tcPr>
          <w:p>
            <w:pPr>
              <w:spacing w:after="0"/>
              <w:rPr>
                <w:sz w:val="1"/>
                <w:szCs w:val="1"/>
                <w:color w:val="auto"/>
              </w:rPr>
            </w:pPr>
          </w:p>
        </w:tc>
      </w:tr>
      <w:tr>
        <w:trPr>
          <w:trHeight w:val="147"/>
        </w:trPr>
        <w:tc>
          <w:tcPr>
            <w:tcW w:w="700" w:type="dxa"/>
            <w:vAlign w:val="bottom"/>
            <w:tcBorders>
              <w:bottom w:val="single" w:sz="8" w:color="auto"/>
            </w:tcBorders>
            <w:gridSpan w:val="2"/>
            <w:vMerge w:val="continue"/>
          </w:tcPr>
          <w:p>
            <w:pPr>
              <w:spacing w:after="0"/>
              <w:rPr>
                <w:sz w:val="12"/>
                <w:szCs w:val="12"/>
                <w:color w:val="auto"/>
              </w:rPr>
            </w:pPr>
          </w:p>
        </w:tc>
        <w:tc>
          <w:tcPr>
            <w:tcW w:w="4580" w:type="dxa"/>
            <w:vAlign w:val="bottom"/>
            <w:vMerge w:val="continue"/>
          </w:tcPr>
          <w:p>
            <w:pPr>
              <w:spacing w:after="0"/>
              <w:rPr>
                <w:sz w:val="12"/>
                <w:szCs w:val="12"/>
                <w:color w:val="auto"/>
              </w:rPr>
            </w:pPr>
          </w:p>
        </w:tc>
        <w:tc>
          <w:tcPr>
            <w:tcW w:w="2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ind w:right="13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2020 (9 months remaining)</w:t>
            </w:r>
          </w:p>
        </w:tc>
        <w:tc>
          <w:tcPr>
            <w:tcW w:w="2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2021</w:t>
            </w:r>
          </w:p>
        </w:tc>
        <w:tc>
          <w:tcPr>
            <w:tcW w:w="45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2022</w:t>
            </w:r>
          </w:p>
        </w:tc>
        <w:tc>
          <w:tcPr>
            <w:tcW w:w="458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2023</w:t>
            </w:r>
          </w:p>
        </w:tc>
        <w:tc>
          <w:tcPr>
            <w:tcW w:w="45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w:t>
            </w:r>
          </w:p>
        </w:tc>
        <w:tc>
          <w:tcPr>
            <w:tcW w:w="4580" w:type="dxa"/>
            <w:vAlign w:val="bottom"/>
            <w:shd w:val="clear" w:color="auto" w:fill="CFF0FC"/>
          </w:tcPr>
          <w:p>
            <w:pPr>
              <w:spacing w:after="0"/>
              <w:rPr>
                <w:sz w:val="19"/>
                <w:szCs w:val="19"/>
                <w:color w:val="auto"/>
              </w:rPr>
            </w:pPr>
          </w:p>
        </w:tc>
        <w:tc>
          <w:tcPr>
            <w:tcW w:w="2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ind w:left="240"/>
              <w:spacing w:after="0"/>
              <w:rPr>
                <w:sz w:val="20"/>
                <w:szCs w:val="20"/>
                <w:color w:val="auto"/>
              </w:rPr>
            </w:pPr>
            <w:r>
              <w:rPr>
                <w:rFonts w:ascii="Arial" w:cs="Arial" w:eastAsia="Arial" w:hAnsi="Arial"/>
                <w:sz w:val="18"/>
                <w:szCs w:val="18"/>
                <w:color w:val="auto"/>
              </w:rPr>
              <w:t>Thereafter</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future amortization expenses:</w:t>
            </w:r>
          </w:p>
        </w:tc>
        <w:tc>
          <w:tcPr>
            <w:tcW w:w="2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518"/>
        <w:spacing w:after="0" w:line="342" w:lineRule="auto"/>
        <w:rPr>
          <w:sz w:val="20"/>
          <w:szCs w:val="20"/>
          <w:color w:val="auto"/>
        </w:rPr>
      </w:pPr>
      <w:r>
        <w:rPr>
          <w:rFonts w:ascii="Arial" w:cs="Arial" w:eastAsia="Arial" w:hAnsi="Arial"/>
          <w:sz w:val="16"/>
          <w:szCs w:val="16"/>
          <w:color w:val="auto"/>
        </w:rPr>
        <w:t>IPR&amp;D is required to be tested for impairment at least annually in the fourth fiscal quarter or sooner whenever events or changes in circumstances indicate that the assets may be impaired. There were no intangible asset impairments for the three months ended April 30, 2019 and 2018, respectively.</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and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at April 30, 2019 and January 31, 2019 consisted of the following:</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4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30, 2019</w:t>
            </w:r>
          </w:p>
        </w:tc>
        <w:tc>
          <w:tcPr>
            <w:tcW w:w="12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2019</w:t>
            </w:r>
          </w:p>
        </w:tc>
      </w:tr>
      <w:tr>
        <w:trPr>
          <w:trHeight w:val="156"/>
        </w:trPr>
        <w:tc>
          <w:tcPr>
            <w:tcW w:w="4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60" w:type="dxa"/>
            <w:vAlign w:val="bottom"/>
            <w:tcBorders>
              <w:top w:val="single" w:sz="8" w:color="auto"/>
            </w:tcBorders>
            <w:gridSpan w:val="4"/>
          </w:tcPr>
          <w:p>
            <w:pPr>
              <w:jc w:val="right"/>
              <w:ind w:right="953"/>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Accrued employee compensation</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10,645</w:t>
            </w:r>
          </w:p>
        </w:tc>
        <w:tc>
          <w:tcPr>
            <w:tcW w:w="6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Accrued rebates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Accrued product development costs</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6,393</w:t>
            </w:r>
          </w:p>
        </w:tc>
        <w:tc>
          <w:tcPr>
            <w:tcW w:w="6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Software license liabilities, current</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4,879</w:t>
            </w:r>
          </w:p>
        </w:tc>
        <w:tc>
          <w:tcPr>
            <w:tcW w:w="6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Other accrued liabilities</w:t>
            </w:r>
          </w:p>
        </w:tc>
        <w:tc>
          <w:tcPr>
            <w:tcW w:w="8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2,116</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60" w:type="dxa"/>
            <w:vAlign w:val="bottom"/>
            <w:shd w:val="clear" w:color="auto" w:fill="CFF0FC"/>
          </w:tcPr>
          <w:p>
            <w:pPr>
              <w:spacing w:after="0"/>
              <w:rPr>
                <w:sz w:val="19"/>
                <w:szCs w:val="19"/>
                <w:color w:val="auto"/>
              </w:rPr>
            </w:pPr>
          </w:p>
        </w:tc>
      </w:tr>
      <w:tr>
        <w:trPr>
          <w:trHeight w:val="223"/>
        </w:trPr>
        <w:tc>
          <w:tcPr>
            <w:tcW w:w="4100" w:type="dxa"/>
            <w:vAlign w:val="bottom"/>
          </w:tcPr>
          <w:p>
            <w:pPr>
              <w:ind w:left="240"/>
              <w:spacing w:after="0"/>
              <w:rPr>
                <w:sz w:val="20"/>
                <w:szCs w:val="20"/>
                <w:color w:val="auto"/>
              </w:rPr>
            </w:pPr>
            <w:r>
              <w:rPr>
                <w:rFonts w:ascii="Arial" w:cs="Arial" w:eastAsia="Arial" w:hAnsi="Arial"/>
                <w:sz w:val="18"/>
                <w:szCs w:val="18"/>
                <w:color w:val="auto"/>
              </w:rPr>
              <w:t>Total accrued and other current liabilities</w:t>
            </w:r>
          </w:p>
        </w:tc>
        <w:tc>
          <w:tcPr>
            <w:tcW w:w="8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22,523</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24,700</w:t>
            </w:r>
          </w:p>
        </w:tc>
        <w:tc>
          <w:tcPr>
            <w:tcW w:w="6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The Company has entered into operating leases for its worldwide office buildings and research and development facilities. The leases expire at various dates through fiscal year 2028, some of which include options to extend the lease for up to 3 years. For the three months ended April 30, 2019, the Company recorded approximately $0.7 million of operating lease expense. The Company's short-term leases and finance leases are immaterial.</w:t>
      </w:r>
    </w:p>
    <w:p>
      <w:pPr>
        <w:spacing w:after="0" w:line="166" w:lineRule="exact"/>
        <w:rPr>
          <w:sz w:val="20"/>
          <w:szCs w:val="20"/>
          <w:color w:val="auto"/>
        </w:rPr>
      </w:pPr>
    </w:p>
    <w:p>
      <w:pPr>
        <w:ind w:right="200" w:firstLine="518"/>
        <w:spacing w:after="0" w:line="258" w:lineRule="auto"/>
        <w:rPr>
          <w:sz w:val="20"/>
          <w:szCs w:val="20"/>
          <w:color w:val="auto"/>
        </w:rPr>
      </w:pPr>
      <w:r>
        <w:rPr>
          <w:rFonts w:ascii="Arial" w:cs="Arial" w:eastAsia="Arial" w:hAnsi="Arial"/>
          <w:sz w:val="18"/>
          <w:szCs w:val="18"/>
          <w:color w:val="auto"/>
        </w:rPr>
        <w:t>The cumulative effect of the changes made to the condensed consolidated balance sheet as of February 1, 2019 for the adoption of Topic 842 was as follows:</w:t>
      </w:r>
    </w:p>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6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Balance as of</w:t>
            </w: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Opening Balance as of</w:t>
            </w:r>
          </w:p>
        </w:tc>
        <w:tc>
          <w:tcPr>
            <w:tcW w:w="0" w:type="dxa"/>
            <w:vAlign w:val="bottom"/>
          </w:tcPr>
          <w:p>
            <w:pPr>
              <w:spacing w:after="0"/>
              <w:rPr>
                <w:sz w:val="1"/>
                <w:szCs w:val="1"/>
                <w:color w:val="auto"/>
              </w:rPr>
            </w:pPr>
          </w:p>
        </w:tc>
      </w:tr>
      <w:tr>
        <w:trPr>
          <w:trHeight w:val="219"/>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6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January 31, 2019</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5"/>
              </w:rPr>
              <w:t>February 1, 2019</w:t>
            </w: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04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5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w w:val="88"/>
              </w:rPr>
              <w:t>8,581</w:t>
            </w:r>
          </w:p>
        </w:tc>
        <w:tc>
          <w:tcPr>
            <w:tcW w:w="1080" w:type="dxa"/>
            <w:vAlign w:val="bottom"/>
            <w:shd w:val="clear" w:color="auto" w:fill="CFF0FC"/>
          </w:tcPr>
          <w:p>
            <w:pPr>
              <w:jc w:val="right"/>
              <w:ind w:right="85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8,581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6,206</w:t>
            </w:r>
          </w:p>
        </w:tc>
        <w:tc>
          <w:tcPr>
            <w:tcW w:w="8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560" w:type="dxa"/>
            <w:vAlign w:val="bottom"/>
            <w:gridSpan w:val="2"/>
          </w:tcPr>
          <w:p>
            <w:pPr>
              <w:jc w:val="right"/>
              <w:ind w:right="8"/>
              <w:spacing w:after="0"/>
              <w:rPr>
                <w:sz w:val="20"/>
                <w:szCs w:val="20"/>
                <w:color w:val="auto"/>
              </w:rPr>
            </w:pPr>
            <w:r>
              <w:rPr>
                <w:rFonts w:ascii="Arial" w:cs="Arial" w:eastAsia="Arial" w:hAnsi="Arial"/>
                <w:sz w:val="18"/>
                <w:szCs w:val="18"/>
                <w:color w:val="auto"/>
              </w:rPr>
              <w:t>(174)</w:t>
            </w:r>
          </w:p>
        </w:tc>
        <w:tc>
          <w:tcPr>
            <w:tcW w:w="1080" w:type="dxa"/>
            <w:vAlign w:val="bottom"/>
          </w:tcPr>
          <w:p>
            <w:pPr>
              <w:jc w:val="right"/>
              <w:ind w:right="858"/>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6,032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and other current liabilities</w:t>
            </w:r>
          </w:p>
        </w:tc>
        <w:tc>
          <w:tcPr>
            <w:tcW w:w="104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24,700</w:t>
            </w:r>
          </w:p>
        </w:tc>
        <w:tc>
          <w:tcPr>
            <w:tcW w:w="800" w:type="dxa"/>
            <w:vAlign w:val="bottom"/>
            <w:shd w:val="clear" w:color="auto" w:fill="CFF0FC"/>
          </w:tcPr>
          <w:p>
            <w:pPr>
              <w:jc w:val="right"/>
              <w:ind w:right="5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(279)</w:t>
            </w:r>
          </w:p>
        </w:tc>
        <w:tc>
          <w:tcPr>
            <w:tcW w:w="1080" w:type="dxa"/>
            <w:vAlign w:val="bottom"/>
            <w:shd w:val="clear" w:color="auto" w:fill="CFF0FC"/>
          </w:tcPr>
          <w:p>
            <w:pPr>
              <w:jc w:val="right"/>
              <w:ind w:right="85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24,421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40" w:type="dxa"/>
            <w:vAlign w:val="bottom"/>
            <w:gridSpan w:val="4"/>
          </w:tcPr>
          <w:p>
            <w:pPr>
              <w:ind w:left="660"/>
              <w:spacing w:after="0"/>
              <w:rPr>
                <w:sz w:val="20"/>
                <w:szCs w:val="20"/>
                <w:color w:val="auto"/>
              </w:rPr>
            </w:pPr>
            <w:r>
              <w:rPr>
                <w:rFonts w:ascii="Arial" w:cs="Arial" w:eastAsia="Arial" w:hAnsi="Arial"/>
                <w:sz w:val="18"/>
                <w:szCs w:val="18"/>
                <w:color w:val="auto"/>
              </w:rPr>
              <w:t>Operating lease liabilities, current</w:t>
            </w:r>
          </w:p>
        </w:tc>
        <w:tc>
          <w:tcPr>
            <w:tcW w:w="104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560" w:type="dxa"/>
            <w:vAlign w:val="bottom"/>
            <w:gridSpan w:val="2"/>
          </w:tcPr>
          <w:p>
            <w:pPr>
              <w:jc w:val="right"/>
              <w:ind w:right="68"/>
              <w:spacing w:after="0"/>
              <w:rPr>
                <w:sz w:val="20"/>
                <w:szCs w:val="20"/>
                <w:color w:val="auto"/>
              </w:rPr>
            </w:pPr>
            <w:r>
              <w:rPr>
                <w:rFonts w:ascii="Arial" w:cs="Arial" w:eastAsia="Arial" w:hAnsi="Arial"/>
                <w:sz w:val="18"/>
                <w:szCs w:val="18"/>
                <w:color w:val="auto"/>
                <w:w w:val="88"/>
              </w:rPr>
              <w:t>2,534</w:t>
            </w:r>
          </w:p>
        </w:tc>
        <w:tc>
          <w:tcPr>
            <w:tcW w:w="1080" w:type="dxa"/>
            <w:vAlign w:val="bottom"/>
          </w:tcPr>
          <w:p>
            <w:pPr>
              <w:jc w:val="right"/>
              <w:ind w:right="858"/>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2,534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104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514"/>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w w:val="88"/>
              </w:rPr>
              <w:t>6,152</w:t>
            </w:r>
          </w:p>
        </w:tc>
        <w:tc>
          <w:tcPr>
            <w:tcW w:w="1080" w:type="dxa"/>
            <w:vAlign w:val="bottom"/>
            <w:shd w:val="clear" w:color="auto" w:fill="CFF0FC"/>
          </w:tcPr>
          <w:p>
            <w:pPr>
              <w:jc w:val="right"/>
              <w:ind w:right="85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6,152</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5380" w:type="dxa"/>
            <w:vAlign w:val="bottom"/>
            <w:gridSpan w:val="6"/>
          </w:tcPr>
          <w:p>
            <w:pPr>
              <w:jc w:val="right"/>
              <w:ind w:right="488"/>
              <w:spacing w:after="0"/>
              <w:rPr>
                <w:sz w:val="20"/>
                <w:szCs w:val="20"/>
                <w:color w:val="auto"/>
              </w:rPr>
            </w:pPr>
            <w:r>
              <w:rPr>
                <w:rFonts w:ascii="Arial" w:cs="Arial" w:eastAsia="Arial" w:hAnsi="Arial"/>
                <w:sz w:val="18"/>
                <w:szCs w:val="18"/>
                <w:color w:val="auto"/>
                <w:w w:val="90"/>
              </w:rPr>
              <w:t>Supplemental cash flow information related to leases is as follows:</w:t>
            </w: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April 30, 2019</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ind w:left="100"/>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00" w:type="dxa"/>
            <w:vAlign w:val="bottom"/>
            <w:gridSpan w:val="4"/>
            <w:shd w:val="clear" w:color="auto" w:fill="CFF0FC"/>
          </w:tcPr>
          <w:p>
            <w:pPr>
              <w:spacing w:after="0"/>
              <w:rPr>
                <w:sz w:val="20"/>
                <w:szCs w:val="20"/>
                <w:color w:val="auto"/>
              </w:rPr>
            </w:pPr>
            <w:r>
              <w:rPr>
                <w:rFonts w:ascii="Arial" w:cs="Arial" w:eastAsia="Arial" w:hAnsi="Arial"/>
                <w:sz w:val="18"/>
                <w:szCs w:val="18"/>
                <w:color w:val="auto"/>
                <w:w w:val="92"/>
              </w:rPr>
              <w:t>Cash paid for operating leases included in operating cash flows</w:t>
            </w: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2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gridSpan w:val="7"/>
          </w:tcPr>
          <w:p>
            <w:pPr>
              <w:spacing w:after="0"/>
              <w:rPr>
                <w:sz w:val="20"/>
                <w:szCs w:val="20"/>
                <w:color w:val="auto"/>
              </w:rPr>
            </w:pPr>
            <w:r>
              <w:rPr>
                <w:rFonts w:ascii="Arial" w:cs="Arial" w:eastAsia="Arial" w:hAnsi="Arial"/>
                <w:sz w:val="18"/>
                <w:szCs w:val="18"/>
                <w:color w:val="auto"/>
                <w:w w:val="93"/>
              </w:rPr>
              <w:t>Supplemental non-cash information related to lease liabilities arising from obtaining right-of-</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gridSpan w:val="4"/>
          </w:tcPr>
          <w:p>
            <w:pPr>
              <w:ind w:left="660"/>
              <w:spacing w:after="0"/>
              <w:rPr>
                <w:sz w:val="20"/>
                <w:szCs w:val="20"/>
                <w:color w:val="auto"/>
              </w:rPr>
            </w:pPr>
            <w:r>
              <w:rPr>
                <w:rFonts w:ascii="Arial" w:cs="Arial" w:eastAsia="Arial" w:hAnsi="Arial"/>
                <w:sz w:val="18"/>
                <w:szCs w:val="18"/>
                <w:color w:val="auto"/>
              </w:rPr>
              <w:t>use assets</w:t>
            </w: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00" w:type="dxa"/>
            <w:vAlign w:val="bottom"/>
            <w:gridSpan w:val="4"/>
            <w:shd w:val="clear" w:color="auto" w:fill="CFF0FC"/>
          </w:tcPr>
          <w:p>
            <w:pPr>
              <w:spacing w:after="0"/>
              <w:rPr>
                <w:sz w:val="20"/>
                <w:szCs w:val="20"/>
                <w:color w:val="auto"/>
              </w:rPr>
            </w:pPr>
            <w:r>
              <w:rPr>
                <w:rFonts w:ascii="Arial" w:cs="Arial" w:eastAsia="Arial" w:hAnsi="Arial"/>
                <w:sz w:val="18"/>
                <w:szCs w:val="18"/>
                <w:color w:val="auto"/>
                <w:w w:val="99"/>
              </w:rPr>
              <w:t>Weighted-average remaining lease term – operating leases</w:t>
            </w: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760" w:type="dxa"/>
            <w:vAlign w:val="bottom"/>
            <w:gridSpan w:val="5"/>
            <w:shd w:val="clear" w:color="auto" w:fill="CFF0FC"/>
          </w:tcPr>
          <w:p>
            <w:pPr>
              <w:ind w:left="840"/>
              <w:spacing w:after="0"/>
              <w:rPr>
                <w:sz w:val="20"/>
                <w:szCs w:val="20"/>
                <w:color w:val="auto"/>
              </w:rPr>
            </w:pPr>
            <w:r>
              <w:rPr>
                <w:rFonts w:ascii="Arial" w:cs="Arial" w:eastAsia="Arial" w:hAnsi="Arial"/>
                <w:sz w:val="18"/>
                <w:szCs w:val="18"/>
                <w:color w:val="auto"/>
              </w:rPr>
              <w:t>4.25 years</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w w:val="89"/>
              </w:rPr>
              <w:t>Weighted-average discount rate – operating leases</w:t>
            </w: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431"/>
        </w:trPr>
        <w:tc>
          <w:tcPr>
            <w:tcW w:w="6140" w:type="dxa"/>
            <w:vAlign w:val="bottom"/>
            <w:gridSpan w:val="7"/>
          </w:tcPr>
          <w:p>
            <w:pPr>
              <w:jc w:val="right"/>
              <w:ind w:right="190"/>
              <w:spacing w:after="0"/>
              <w:rPr>
                <w:sz w:val="20"/>
                <w:szCs w:val="20"/>
                <w:color w:val="auto"/>
              </w:rPr>
            </w:pPr>
            <w:r>
              <w:rPr>
                <w:rFonts w:ascii="Arial" w:cs="Arial" w:eastAsia="Arial" w:hAnsi="Arial"/>
                <w:sz w:val="18"/>
                <w:szCs w:val="18"/>
                <w:color w:val="auto"/>
                <w:w w:val="91"/>
              </w:rPr>
              <w:t>Future minimum lease payments for the operating lease liabilities are as follows:</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As of</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60" w:type="dxa"/>
            <w:vAlign w:val="bottom"/>
            <w:vMerge w:val="restart"/>
          </w:tcPr>
          <w:p>
            <w:pPr>
              <w:spacing w:after="0"/>
              <w:rPr>
                <w:sz w:val="14"/>
                <w:szCs w:val="1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Fiscal Year</w:t>
            </w:r>
          </w:p>
        </w:tc>
        <w:tc>
          <w:tcPr>
            <w:tcW w:w="2980" w:type="dxa"/>
            <w:vAlign w:val="bottom"/>
            <w:vMerge w:val="restart"/>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278"/>
              <w:spacing w:after="0"/>
              <w:rPr>
                <w:sz w:val="20"/>
                <w:szCs w:val="20"/>
                <w:color w:val="auto"/>
              </w:rPr>
            </w:pPr>
            <w:r>
              <w:rPr>
                <w:rFonts w:ascii="Arial" w:cs="Arial" w:eastAsia="Arial" w:hAnsi="Arial"/>
                <w:sz w:val="14"/>
                <w:szCs w:val="14"/>
                <w:b w:val="1"/>
                <w:bCs w:val="1"/>
                <w:color w:val="auto"/>
              </w:rPr>
              <w:t>April 30, 2019</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60" w:type="dxa"/>
            <w:vAlign w:val="bottom"/>
            <w:vMerge w:val="continue"/>
          </w:tcPr>
          <w:p>
            <w:pPr>
              <w:spacing w:after="0"/>
              <w:rPr>
                <w:sz w:val="12"/>
                <w:szCs w:val="12"/>
                <w:color w:val="auto"/>
              </w:rPr>
            </w:pPr>
          </w:p>
        </w:tc>
        <w:tc>
          <w:tcPr>
            <w:tcW w:w="700" w:type="dxa"/>
            <w:vAlign w:val="bottom"/>
            <w:tcBorders>
              <w:bottom w:val="single" w:sz="8" w:color="auto"/>
            </w:tcBorders>
            <w:gridSpan w:val="2"/>
            <w:vMerge w:val="continue"/>
          </w:tcPr>
          <w:p>
            <w:pPr>
              <w:spacing w:after="0"/>
              <w:rPr>
                <w:sz w:val="12"/>
                <w:szCs w:val="12"/>
                <w:color w:val="auto"/>
              </w:rPr>
            </w:pPr>
          </w:p>
        </w:tc>
        <w:tc>
          <w:tcPr>
            <w:tcW w:w="2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right"/>
              <w:ind w:right="278"/>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2020 (9 months remaining)</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2,067</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2021</w:t>
            </w:r>
          </w:p>
        </w:tc>
        <w:tc>
          <w:tcPr>
            <w:tcW w:w="2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2022</w:t>
            </w:r>
          </w:p>
        </w:tc>
        <w:tc>
          <w:tcPr>
            <w:tcW w:w="2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1,782</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2023</w:t>
            </w:r>
          </w:p>
        </w:tc>
        <w:tc>
          <w:tcPr>
            <w:tcW w:w="2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1,567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w:t>
            </w:r>
          </w:p>
        </w:tc>
        <w:tc>
          <w:tcPr>
            <w:tcW w:w="29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Thereafter</w:t>
            </w:r>
          </w:p>
        </w:tc>
        <w:tc>
          <w:tcPr>
            <w:tcW w:w="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516</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00" w:type="dxa"/>
            <w:vAlign w:val="bottom"/>
            <w:gridSpan w:val="4"/>
            <w:shd w:val="clear" w:color="auto" w:fill="CFF0FC"/>
          </w:tcPr>
          <w:p>
            <w:pPr>
              <w:ind w:left="480"/>
              <w:spacing w:after="0"/>
              <w:rPr>
                <w:sz w:val="20"/>
                <w:szCs w:val="20"/>
                <w:color w:val="auto"/>
              </w:rPr>
            </w:pPr>
            <w:r>
              <w:rPr>
                <w:rFonts w:ascii="Arial" w:cs="Arial" w:eastAsia="Arial" w:hAnsi="Arial"/>
                <w:sz w:val="18"/>
                <w:szCs w:val="18"/>
                <w:color w:val="auto"/>
              </w:rPr>
              <w:t>Total future annual minimum lease payments</w:t>
            </w:r>
          </w:p>
        </w:tc>
        <w:tc>
          <w:tcPr>
            <w:tcW w:w="7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8,571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gridSpan w:val="2"/>
          </w:tcPr>
          <w:p>
            <w:pPr>
              <w:ind w:left="240"/>
              <w:spacing w:after="0"/>
              <w:rPr>
                <w:sz w:val="20"/>
                <w:szCs w:val="20"/>
                <w:color w:val="auto"/>
              </w:rPr>
            </w:pPr>
            <w:r>
              <w:rPr>
                <w:rFonts w:ascii="Arial" w:cs="Arial" w:eastAsia="Arial" w:hAnsi="Arial"/>
                <w:sz w:val="18"/>
                <w:szCs w:val="18"/>
                <w:color w:val="auto"/>
              </w:rPr>
              <w:t>Less: interest</w:t>
            </w: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6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lease liabilities</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8,025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Prior to the adoption of the new leases guidance, future minimum undiscounted lease payments as of January 31, 2019 were as follows:</w:t>
      </w:r>
    </w:p>
    <w:p>
      <w:pPr>
        <w:spacing w:after="0" w:line="1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5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Year</w:t>
            </w:r>
          </w:p>
        </w:tc>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January 31, 2019</w:t>
            </w:r>
          </w:p>
        </w:tc>
        <w:tc>
          <w:tcPr>
            <w:tcW w:w="0" w:type="dxa"/>
            <w:vAlign w:val="bottom"/>
          </w:tcPr>
          <w:p>
            <w:pPr>
              <w:spacing w:after="0"/>
              <w:rPr>
                <w:sz w:val="1"/>
                <w:szCs w:val="1"/>
                <w:color w:val="auto"/>
              </w:rPr>
            </w:pPr>
          </w:p>
        </w:tc>
      </w:tr>
      <w:tr>
        <w:trPr>
          <w:trHeight w:val="142"/>
        </w:trPr>
        <w:tc>
          <w:tcPr>
            <w:tcW w:w="502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tcPr>
          <w:p>
            <w:pPr>
              <w:jc w:val="center"/>
              <w:ind w:right="39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2020</w:t>
            </w:r>
          </w:p>
        </w:tc>
        <w:tc>
          <w:tcPr>
            <w:tcW w:w="43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2021</w:t>
            </w:r>
          </w:p>
        </w:tc>
        <w:tc>
          <w:tcPr>
            <w:tcW w:w="4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1,040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2022</w:t>
            </w:r>
          </w:p>
        </w:tc>
        <w:tc>
          <w:tcPr>
            <w:tcW w:w="4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rPr>
              <w:t>2023</w:t>
            </w:r>
          </w:p>
        </w:tc>
        <w:tc>
          <w:tcPr>
            <w:tcW w:w="4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2024</w:t>
            </w:r>
          </w:p>
        </w:tc>
        <w:tc>
          <w:tcPr>
            <w:tcW w:w="4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Thereafter</w:t>
            </w:r>
          </w:p>
        </w:tc>
        <w:tc>
          <w:tcPr>
            <w:tcW w:w="12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 future annual minimum lease payments</w:t>
            </w:r>
          </w:p>
        </w:tc>
        <w:tc>
          <w:tcPr>
            <w:tcW w:w="1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2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increased liabilities as of April 30, 2019 were attributable to a renewal option reasonably certain to be exercised during the three months ended April 30, 2019.</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8. Other Long-Term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long-term liabilities at April 30, 2019 and January 31, 2019 consisted of the following:</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23"/>
        </w:trPr>
        <w:tc>
          <w:tcPr>
            <w:tcW w:w="4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30, 2019</w:t>
            </w:r>
          </w:p>
        </w:tc>
        <w:tc>
          <w:tcPr>
            <w:tcW w:w="12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31, 2019</w:t>
            </w:r>
          </w:p>
        </w:tc>
      </w:tr>
      <w:tr>
        <w:trPr>
          <w:trHeight w:val="156"/>
        </w:trPr>
        <w:tc>
          <w:tcPr>
            <w:tcW w:w="4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60" w:type="dxa"/>
            <w:vAlign w:val="bottom"/>
            <w:tcBorders>
              <w:top w:val="single" w:sz="8" w:color="auto"/>
            </w:tcBorders>
            <w:gridSpan w:val="4"/>
          </w:tcPr>
          <w:p>
            <w:pPr>
              <w:jc w:val="right"/>
              <w:ind w:right="953"/>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including interest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6,732</w:t>
            </w:r>
          </w:p>
        </w:tc>
        <w:tc>
          <w:tcPr>
            <w:tcW w:w="60" w:type="dxa"/>
            <w:vAlign w:val="bottom"/>
            <w:shd w:val="clear" w:color="auto" w:fill="CFF0FC"/>
          </w:tcPr>
          <w:p>
            <w:pPr>
              <w:spacing w:after="0"/>
              <w:rPr>
                <w:sz w:val="19"/>
                <w:szCs w:val="19"/>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Deferred tax liabilities, non-current</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1,293</w:t>
            </w:r>
          </w:p>
        </w:tc>
        <w:tc>
          <w:tcPr>
            <w:tcW w:w="60" w:type="dxa"/>
            <w:vAlign w:val="bottom"/>
          </w:tcPr>
          <w:p>
            <w:pPr>
              <w:spacing w:after="0"/>
              <w:rPr>
                <w:sz w:val="19"/>
                <w:szCs w:val="19"/>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Software license liabilities, non-current</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60" w:type="dxa"/>
            <w:vAlign w:val="bottom"/>
            <w:shd w:val="clear" w:color="auto" w:fill="CFF0FC"/>
          </w:tcPr>
          <w:p>
            <w:pPr>
              <w:spacing w:after="0"/>
              <w:rPr>
                <w:sz w:val="19"/>
                <w:szCs w:val="19"/>
                <w:color w:val="auto"/>
              </w:rPr>
            </w:pPr>
          </w:p>
        </w:tc>
      </w:tr>
      <w:tr>
        <w:trPr>
          <w:trHeight w:val="230"/>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8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FF0FC"/>
            </w:tcBorders>
          </w:tcPr>
          <w:p>
            <w:pPr>
              <w:spacing w:after="0"/>
              <w:rPr>
                <w:sz w:val="19"/>
                <w:szCs w:val="19"/>
                <w:color w:val="auto"/>
              </w:rPr>
            </w:pPr>
          </w:p>
        </w:tc>
      </w:tr>
      <w:tr>
        <w:trPr>
          <w:trHeight w:val="223"/>
        </w:trPr>
        <w:tc>
          <w:tcPr>
            <w:tcW w:w="4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other long-term liabilities</w:t>
            </w:r>
          </w:p>
        </w:tc>
        <w:tc>
          <w:tcPr>
            <w:tcW w:w="8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8,963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Preference shares</w:t>
      </w:r>
    </w:p>
    <w:p>
      <w:pPr>
        <w:spacing w:after="0" w:line="117" w:lineRule="exact"/>
        <w:rPr>
          <w:sz w:val="20"/>
          <w:szCs w:val="20"/>
          <w:color w:val="auto"/>
        </w:rPr>
      </w:pPr>
    </w:p>
    <w:p>
      <w:pPr>
        <w:ind w:right="200" w:firstLine="518"/>
        <w:spacing w:after="0" w:line="308" w:lineRule="auto"/>
        <w:rPr>
          <w:sz w:val="20"/>
          <w:szCs w:val="20"/>
          <w:color w:val="auto"/>
        </w:rPr>
      </w:pPr>
      <w:r>
        <w:rPr>
          <w:rFonts w:ascii="Arial" w:cs="Arial" w:eastAsia="Arial" w:hAnsi="Arial"/>
          <w:sz w:val="17"/>
          <w:szCs w:val="17"/>
          <w:color w:val="auto"/>
        </w:rPr>
        <w:t>After completion of the Company’s initial public offering in 2012, a total of 20,000,000 preference shares, with a $0.00045 par value per share, were authorized. There were no preference shares issued and outstanding as of April 30, 2019 and January 31, 2019, respectively.</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April 30, 2019 and January 31, 2019, a total of 200,000,000 ordinary shares were authorized.</w:t>
      </w:r>
    </w:p>
    <w:p>
      <w:pPr>
        <w:spacing w:after="0" w:line="225"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On February 1, 2019, the Company added 1,453,659 ordinary shares to the ordinary shares reserved for issuance, pursuant to an “evergreen” provision contained in the 2012 Equity Incentive Plan, or EIP. Pursuant to such provision, for each fiscal year, the number of ordinary shares reserved for issuance under the EIP is automatically increased by a number equal to the lesser of (i) 3,500,000 ordinary shares, (ii) four and one half percent (4.5%) of the aggregate number of ordinary shares outstanding on January 31st of the preceding fiscal year, or (iii) a lesser number of shares that may be determined by the Company’s Board of Directors.</w:t>
      </w:r>
    </w:p>
    <w:p>
      <w:pPr>
        <w:spacing w:after="0" w:line="188"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On February 1, 2019, the Company added 403,794 ordinary shares to the ordinary shares reserved for issuance, pursuant to an “evergreen” provision contained in the Amended and Restated 2012 Employee Stock Purchase Plan, or ESPP. Pursuant to such provision, for each fiscal year, the number of ordinary shares reserved for issuance under the ESPP is automatically increased by a number equal to the lesser of (i) 1,500,000 ordinary shares, (ii) one and one quarter percent (1.25%) of the aggregate number of ordinary shares outstanding on such date, or (iii) an amount determined by the Company’s Board of Directors or a duly authorized committee of the Board of Directors.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April 30, 2019 and January 31, 2019, the following ordinary shares were reserved for future issuance under the EIP and ESPP:</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2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w w:val="91"/>
              </w:rPr>
              <w:t>As of</w:t>
            </w:r>
          </w:p>
        </w:tc>
        <w:tc>
          <w:tcPr>
            <w:tcW w:w="132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r>
      <w:tr>
        <w:trPr>
          <w:trHeight w:val="156"/>
        </w:trPr>
        <w:tc>
          <w:tcPr>
            <w:tcW w:w="17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20" w:type="dxa"/>
            <w:vAlign w:val="bottom"/>
            <w:gridSpan w:val="3"/>
          </w:tcPr>
          <w:p>
            <w:pPr>
              <w:ind w:left="240"/>
              <w:spacing w:after="0" w:line="155" w:lineRule="exact"/>
              <w:rPr>
                <w:sz w:val="20"/>
                <w:szCs w:val="20"/>
                <w:color w:val="auto"/>
              </w:rPr>
            </w:pPr>
            <w:r>
              <w:rPr>
                <w:rFonts w:ascii="Arial" w:cs="Arial" w:eastAsia="Arial" w:hAnsi="Arial"/>
                <w:sz w:val="14"/>
                <w:szCs w:val="14"/>
                <w:b w:val="1"/>
                <w:bCs w:val="1"/>
                <w:color w:val="auto"/>
              </w:rPr>
              <w:t>April 30, 2019</w:t>
            </w:r>
          </w:p>
        </w:tc>
        <w:tc>
          <w:tcPr>
            <w:tcW w:w="1320" w:type="dxa"/>
            <w:vAlign w:val="bottom"/>
          </w:tcPr>
          <w:p>
            <w:pPr>
              <w:jc w:val="right"/>
              <w:ind w:right="136"/>
              <w:spacing w:after="0" w:line="155" w:lineRule="exact"/>
              <w:rPr>
                <w:sz w:val="20"/>
                <w:szCs w:val="20"/>
                <w:color w:val="auto"/>
              </w:rPr>
            </w:pPr>
            <w:r>
              <w:rPr>
                <w:rFonts w:ascii="Arial" w:cs="Arial" w:eastAsia="Arial" w:hAnsi="Arial"/>
                <w:sz w:val="14"/>
                <w:szCs w:val="14"/>
                <w:b w:val="1"/>
                <w:bCs w:val="1"/>
                <w:color w:val="auto"/>
                <w:w w:val="96"/>
              </w:rPr>
              <w:t>January 31, 2019</w:t>
            </w:r>
          </w:p>
        </w:tc>
        <w:tc>
          <w:tcPr>
            <w:tcW w:w="1740" w:type="dxa"/>
            <w:vAlign w:val="bottom"/>
          </w:tcPr>
          <w:p>
            <w:pPr>
              <w:spacing w:after="0"/>
              <w:rPr>
                <w:sz w:val="13"/>
                <w:szCs w:val="13"/>
                <w:color w:val="auto"/>
              </w:rPr>
            </w:pPr>
          </w:p>
        </w:tc>
      </w:tr>
      <w:tr>
        <w:trPr>
          <w:trHeight w:val="209"/>
        </w:trPr>
        <w:tc>
          <w:tcPr>
            <w:tcW w:w="1720" w:type="dxa"/>
            <w:vAlign w:val="bottom"/>
          </w:tcPr>
          <w:p>
            <w:pPr>
              <w:spacing w:after="0"/>
              <w:rPr>
                <w:sz w:val="18"/>
                <w:szCs w:val="18"/>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Shares reserved for options, restricted stock and</w:t>
            </w:r>
          </w:p>
        </w:tc>
        <w:tc>
          <w:tcPr>
            <w:tcW w:w="136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right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stock units under EIP</w:t>
            </w:r>
          </w:p>
        </w:tc>
        <w:tc>
          <w:tcPr>
            <w:tcW w:w="2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7,034,012</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5,915,654</w:t>
            </w:r>
          </w:p>
        </w:tc>
        <w:tc>
          <w:tcPr>
            <w:tcW w:w="1740" w:type="dxa"/>
            <w:vAlign w:val="bottom"/>
          </w:tcPr>
          <w:p>
            <w:pPr>
              <w:spacing w:after="0"/>
              <w:rPr>
                <w:sz w:val="20"/>
                <w:szCs w:val="20"/>
                <w:color w:val="auto"/>
              </w:rPr>
            </w:pPr>
          </w:p>
        </w:tc>
      </w:tr>
      <w:tr>
        <w:trPr>
          <w:trHeight w:val="230"/>
        </w:trPr>
        <w:tc>
          <w:tcPr>
            <w:tcW w:w="17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Shares reserved for ESPP</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2,137,609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1,833,574</w:t>
            </w:r>
          </w:p>
        </w:tc>
        <w:tc>
          <w:tcPr>
            <w:tcW w:w="1740" w:type="dxa"/>
            <w:vAlign w:val="bottom"/>
          </w:tcPr>
          <w:p>
            <w:pPr>
              <w:spacing w:after="0"/>
              <w:rPr>
                <w:sz w:val="20"/>
                <w:szCs w:val="20"/>
                <w:color w:val="auto"/>
              </w:rPr>
            </w:pPr>
          </w:p>
        </w:tc>
      </w:tr>
      <w:tr>
        <w:trPr>
          <w:trHeight w:val="647"/>
        </w:trPr>
        <w:tc>
          <w:tcPr>
            <w:tcW w:w="17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60" w:type="dxa"/>
            <w:vAlign w:val="bottom"/>
          </w:tcPr>
          <w:p>
            <w:pPr>
              <w:jc w:val="right"/>
              <w:ind w:right="870"/>
              <w:spacing w:after="0"/>
              <w:rPr>
                <w:sz w:val="20"/>
                <w:szCs w:val="20"/>
                <w:color w:val="auto"/>
              </w:rPr>
            </w:pPr>
            <w:r>
              <w:rPr>
                <w:rFonts w:ascii="Arial" w:cs="Arial" w:eastAsia="Arial" w:hAnsi="Arial"/>
                <w:sz w:val="18"/>
                <w:szCs w:val="18"/>
                <w:color w:val="auto"/>
              </w:rPr>
              <w:t>18</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48" w:right="21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b w:val="1"/>
          <w:bCs w:val="1"/>
          <w:i w:val="1"/>
          <w:iCs w:val="1"/>
          <w:color w:val="auto"/>
        </w:rPr>
        <w:t>Shares repurchased</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On June 4, 2018, the Company’s Board of Directors authorized the repurchase of up to an additional $100.0 million of the Company’s ordinary shares over a twelve-month period commencing June 5, 2018.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 There were no shares repurchased during the three months ended April 30, 2019. As of April 30, 2019, a total of 3,985,876 shares have been repurchased for approximately $174.8 million in cash since the inception of the repurchase program in June 2016 and recorded as a reduction to equity.</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classification of stock-based compensation for the periods indicated: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April 30,</w:t>
            </w:r>
          </w:p>
        </w:tc>
      </w:tr>
      <w:tr>
        <w:trPr>
          <w:trHeight w:val="156"/>
        </w:trPr>
        <w:tc>
          <w:tcPr>
            <w:tcW w:w="54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3"/>
                <w:szCs w:val="13"/>
                <w:color w:val="auto"/>
              </w:rPr>
            </w:pPr>
          </w:p>
        </w:tc>
      </w:tr>
      <w:tr>
        <w:trPr>
          <w:trHeight w:val="156"/>
        </w:trPr>
        <w:tc>
          <w:tcPr>
            <w:tcW w:w="5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240"/>
              <w:spacing w:after="0"/>
              <w:rPr>
                <w:sz w:val="20"/>
                <w:szCs w:val="20"/>
                <w:color w:val="auto"/>
              </w:rPr>
            </w:pPr>
            <w:r>
              <w:rPr>
                <w:rFonts w:ascii="Arial" w:cs="Arial" w:eastAsia="Arial" w:hAnsi="Arial"/>
                <w:sz w:val="18"/>
                <w:szCs w:val="18"/>
                <w:color w:val="auto"/>
              </w:rPr>
              <w:t>Cost of revenue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267</w:t>
            </w: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10,204</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5,989</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16,460</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14,195</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During the three months ended April 30, 2019, approximately $1.0 million of stock-based compensation was accrued in the accrued and other current liabilities in the condensed consolidated balance sheets. As of April 30, 2019, total unrecognized compensation cost related to unvested stock options was $4.3 million and is expected to be recognized over a weighted-average period of 2.62 years. Total unrecognized compensation cost related to unvested restricted stock units was $110.3 million and is expected to be recognized over a weighted-average period of 2.57 years. Total unrecognized compensation cost related to unvested restricted stock awards was $0.6 million and is expected to be recognized over a weighted-average period of 0.29 years.</w:t>
      </w:r>
    </w:p>
    <w:p>
      <w:pPr>
        <w:spacing w:after="0" w:line="158"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following table sets forth the weighted-average assumptions used to estimate the fair value of stock options and employee stock purchase plan awards for the periods indicated:</w:t>
      </w:r>
    </w:p>
    <w:p>
      <w:pPr>
        <w:spacing w:after="0" w:line="176"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Three Months Ended April 30,</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56"/>
        </w:trPr>
        <w:tc>
          <w:tcPr>
            <w:tcW w:w="6220" w:type="dxa"/>
            <w:vAlign w:val="bottom"/>
            <w:gridSpan w:val="2"/>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w:t>
            </w:r>
          </w:p>
        </w:tc>
        <w:tc>
          <w:tcPr>
            <w:tcW w:w="8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tcPr>
          <w:p>
            <w:pPr>
              <w:ind w:left="240"/>
              <w:spacing w:after="0"/>
              <w:rPr>
                <w:sz w:val="20"/>
                <w:szCs w:val="20"/>
                <w:color w:val="auto"/>
              </w:rPr>
            </w:pPr>
            <w:r>
              <w:rPr>
                <w:rFonts w:ascii="Arial" w:cs="Arial" w:eastAsia="Arial" w:hAnsi="Arial"/>
                <w:sz w:val="18"/>
                <w:szCs w:val="18"/>
                <w:color w:val="auto"/>
              </w:rPr>
              <w:t>Volatility</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r>
        <w:trPr>
          <w:trHeight w:val="230"/>
        </w:trPr>
        <w:tc>
          <w:tcPr>
            <w:tcW w:w="20" w:type="dxa"/>
            <w:vAlign w:val="bottom"/>
          </w:tcPr>
          <w:p>
            <w:pPr>
              <w:spacing w:after="0"/>
              <w:rPr>
                <w:sz w:val="19"/>
                <w:szCs w:val="19"/>
                <w:color w:val="auto"/>
              </w:rPr>
            </w:pPr>
          </w:p>
        </w:tc>
        <w:tc>
          <w:tcPr>
            <w:tcW w:w="70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Risk-free interest rate</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2.49%</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2.65%</w:t>
            </w:r>
          </w:p>
        </w:tc>
      </w:tr>
      <w:tr>
        <w:trPr>
          <w:trHeight w:val="230"/>
        </w:trPr>
        <w:tc>
          <w:tcPr>
            <w:tcW w:w="20" w:type="dxa"/>
            <w:vAlign w:val="bottom"/>
          </w:tcPr>
          <w:p>
            <w:pPr>
              <w:spacing w:after="0"/>
              <w:rPr>
                <w:sz w:val="19"/>
                <w:szCs w:val="19"/>
                <w:color w:val="auto"/>
              </w:rPr>
            </w:pPr>
          </w:p>
        </w:tc>
        <w:tc>
          <w:tcPr>
            <w:tcW w:w="7000" w:type="dxa"/>
            <w:vAlign w:val="bottom"/>
            <w:gridSpan w:val="2"/>
          </w:tcPr>
          <w:p>
            <w:pPr>
              <w:ind w:left="240"/>
              <w:spacing w:after="0"/>
              <w:rPr>
                <w:sz w:val="20"/>
                <w:szCs w:val="20"/>
                <w:color w:val="auto"/>
              </w:rPr>
            </w:pPr>
            <w:r>
              <w:rPr>
                <w:rFonts w:ascii="Arial" w:cs="Arial" w:eastAsia="Arial" w:hAnsi="Arial"/>
                <w:sz w:val="18"/>
                <w:szCs w:val="18"/>
                <w:color w:val="auto"/>
              </w:rPr>
              <w:t>Expected term (years)</w:t>
            </w:r>
          </w:p>
        </w:tc>
        <w:tc>
          <w:tcPr>
            <w:tcW w:w="420" w:type="dxa"/>
            <w:vAlign w:val="bottom"/>
          </w:tcPr>
          <w:p>
            <w:pPr>
              <w:jc w:val="right"/>
              <w:spacing w:after="0"/>
              <w:rPr>
                <w:sz w:val="20"/>
                <w:szCs w:val="20"/>
                <w:color w:val="auto"/>
              </w:rPr>
            </w:pPr>
            <w:r>
              <w:rPr>
                <w:rFonts w:ascii="Arial" w:cs="Arial" w:eastAsia="Arial" w:hAnsi="Arial"/>
                <w:sz w:val="18"/>
                <w:szCs w:val="18"/>
                <w:color w:val="auto"/>
              </w:rPr>
              <w:t>5.88</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5.33</w:t>
            </w: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Dividend yield</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w:t>
            </w:r>
          </w:p>
        </w:tc>
      </w:tr>
      <w:tr>
        <w:trPr>
          <w:trHeight w:val="230"/>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Employee stock purchase plan awards:</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Volatility</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w:t>
            </w:r>
          </w:p>
        </w:tc>
      </w:tr>
      <w:tr>
        <w:trPr>
          <w:trHeight w:val="230"/>
        </w:trPr>
        <w:tc>
          <w:tcPr>
            <w:tcW w:w="20" w:type="dxa"/>
            <w:vAlign w:val="bottom"/>
          </w:tcPr>
          <w:p>
            <w:pPr>
              <w:spacing w:after="0"/>
              <w:rPr>
                <w:sz w:val="19"/>
                <w:szCs w:val="19"/>
                <w:color w:val="auto"/>
              </w:rPr>
            </w:pPr>
          </w:p>
        </w:tc>
        <w:tc>
          <w:tcPr>
            <w:tcW w:w="7000" w:type="dxa"/>
            <w:vAlign w:val="bottom"/>
            <w:gridSpan w:val="2"/>
          </w:tcPr>
          <w:p>
            <w:pPr>
              <w:ind w:left="240"/>
              <w:spacing w:after="0"/>
              <w:rPr>
                <w:sz w:val="20"/>
                <w:szCs w:val="20"/>
                <w:color w:val="auto"/>
              </w:rPr>
            </w:pPr>
            <w:r>
              <w:rPr>
                <w:rFonts w:ascii="Arial" w:cs="Arial" w:eastAsia="Arial" w:hAnsi="Arial"/>
                <w:sz w:val="18"/>
                <w:szCs w:val="18"/>
                <w:color w:val="auto"/>
              </w:rPr>
              <w:t>Risk-free interest rate</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2.52%</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r>
      <w:tr>
        <w:trPr>
          <w:trHeight w:val="230"/>
        </w:trPr>
        <w:tc>
          <w:tcPr>
            <w:tcW w:w="20" w:type="dxa"/>
            <w:vAlign w:val="bottom"/>
          </w:tcPr>
          <w:p>
            <w:pPr>
              <w:spacing w:after="0"/>
              <w:rPr>
                <w:sz w:val="19"/>
                <w:szCs w:val="19"/>
                <w:color w:val="auto"/>
              </w:rPr>
            </w:pPr>
          </w:p>
        </w:tc>
        <w:tc>
          <w:tcPr>
            <w:tcW w:w="70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Expected term (years)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7000" w:type="dxa"/>
            <w:vAlign w:val="bottom"/>
            <w:gridSpan w:val="2"/>
          </w:tcPr>
          <w:p>
            <w:pPr>
              <w:ind w:left="240"/>
              <w:spacing w:after="0"/>
              <w:rPr>
                <w:sz w:val="20"/>
                <w:szCs w:val="20"/>
                <w:color w:val="auto"/>
              </w:rPr>
            </w:pPr>
            <w:r>
              <w:rPr>
                <w:rFonts w:ascii="Arial" w:cs="Arial" w:eastAsia="Arial" w:hAnsi="Arial"/>
                <w:sz w:val="18"/>
                <w:szCs w:val="18"/>
                <w:color w:val="auto"/>
              </w:rPr>
              <w:t>Dividend yield</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activities for the period indicated:</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Option Outstanding</w:t>
            </w: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4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4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Total Intrinsic</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2"/>
        </w:trPr>
        <w:tc>
          <w:tcPr>
            <w:tcW w:w="4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Value Of</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r>
      <w:tr>
        <w:trPr>
          <w:trHeight w:val="162"/>
        </w:trPr>
        <w:tc>
          <w:tcPr>
            <w:tcW w:w="4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4"/>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Options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Intrinsic</w:t>
            </w:r>
          </w:p>
        </w:tc>
      </w:tr>
      <w:tr>
        <w:trPr>
          <w:trHeight w:val="162"/>
        </w:trPr>
        <w:tc>
          <w:tcPr>
            <w:tcW w:w="4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14"/>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Grant-date</w:t>
            </w: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Exercised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1"/>
              </w:rPr>
              <w:t>Exercise Price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Fair Value</w:t>
            </w: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4"/>
                <w:szCs w:val="14"/>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January 31, 2019</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1,459,064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18,800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42.13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21.57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(101,645)</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(6,448)</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46.81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Expired</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(5,358)</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Outstanding at April 30, 2019</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1,364,413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32,360</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Exercisable at April 30, 2019</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1,170,168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31,285</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ordinary shares on April 30, 2019 was $50.12, as reported by The NASDAQ Global Market. The intrinsic value of exercised options is calculated by the difference between the fair market value of the Company’s ordinary shares on the exercise date and the exercise price.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restricted stock and restricted stock units activities for the period indicated: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Grant-Date</w:t>
            </w:r>
          </w:p>
        </w:tc>
      </w:tr>
      <w:tr>
        <w:trPr>
          <w:trHeight w:val="171"/>
        </w:trPr>
        <w:tc>
          <w:tcPr>
            <w:tcW w:w="548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Fair Value</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January 31,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2,395,516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407,076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48.11</w:t>
            </w: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(252,076)</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53.12</w:t>
            </w: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(17,322)</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48.20</w:t>
            </w:r>
          </w:p>
        </w:tc>
        <w:tc>
          <w:tcPr>
            <w:tcW w:w="80" w:type="dxa"/>
            <w:vAlign w:val="bottom"/>
          </w:tcPr>
          <w:p>
            <w:pPr>
              <w:spacing w:after="0"/>
              <w:rPr>
                <w:sz w:val="19"/>
                <w:szCs w:val="19"/>
                <w:color w:val="auto"/>
              </w:rPr>
            </w:pP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April 30, 2019</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2,533,194</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47.97</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April 30, 2019, the aggregate intrinsic value of unvested restricted stock and restricted stock units was $127.0 million.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Ordinary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loss per ordinary share for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Three Months Ended April 30,</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438"/>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60" w:type="dxa"/>
            <w:vAlign w:val="bottom"/>
            <w:gridSpan w:val="4"/>
          </w:tcPr>
          <w:p>
            <w:pPr>
              <w:jc w:val="center"/>
              <w:ind w:right="13"/>
              <w:spacing w:after="0" w:line="133" w:lineRule="exact"/>
              <w:rPr>
                <w:sz w:val="20"/>
                <w:szCs w:val="20"/>
                <w:color w:val="auto"/>
              </w:rPr>
            </w:pPr>
            <w:r>
              <w:rPr>
                <w:rFonts w:ascii="Arial" w:cs="Arial" w:eastAsia="Arial" w:hAnsi="Arial"/>
                <w:sz w:val="14"/>
                <w:szCs w:val="14"/>
                <w:b w:val="1"/>
                <w:bCs w:val="1"/>
                <w:color w:val="auto"/>
                <w:w w:val="91"/>
              </w:rPr>
              <w:t>(in thousands, except share and per share</w:t>
            </w:r>
          </w:p>
        </w:tc>
        <w:tc>
          <w:tcPr>
            <w:tcW w:w="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3"/>
          </w:tcPr>
          <w:p>
            <w:pPr>
              <w:jc w:val="center"/>
              <w:ind w:left="818"/>
              <w:spacing w:after="0"/>
              <w:rPr>
                <w:sz w:val="20"/>
                <w:szCs w:val="20"/>
                <w:color w:val="auto"/>
              </w:rPr>
            </w:pPr>
            <w:r>
              <w:rPr>
                <w:rFonts w:ascii="Arial" w:cs="Arial" w:eastAsia="Arial" w:hAnsi="Arial"/>
                <w:sz w:val="14"/>
                <w:szCs w:val="14"/>
                <w:b w:val="1"/>
                <w:bCs w:val="1"/>
                <w:color w:val="auto"/>
                <w:w w:val="95"/>
              </w:rPr>
              <w:t>data)</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3"/>
                <w:szCs w:val="23"/>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(17,311)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(10,006)</w:t>
            </w: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6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220" w:type="dxa"/>
            <w:vAlign w:val="bottom"/>
            <w:gridSpan w:val="2"/>
          </w:tcPr>
          <w:p>
            <w:pPr>
              <w:ind w:left="1720"/>
              <w:spacing w:after="0"/>
              <w:rPr>
                <w:sz w:val="20"/>
                <w:szCs w:val="20"/>
                <w:color w:val="auto"/>
              </w:rPr>
            </w:pPr>
            <w:r>
              <w:rPr>
                <w:rFonts w:ascii="Arial" w:cs="Arial" w:eastAsia="Arial" w:hAnsi="Arial"/>
                <w:sz w:val="18"/>
                <w:szCs w:val="18"/>
                <w:color w:val="auto"/>
              </w:rPr>
              <w:t>Weighted-average ordinary shares - basic</w:t>
            </w:r>
          </w:p>
        </w:tc>
        <w:tc>
          <w:tcPr>
            <w:tcW w:w="16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32,492,044</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33,334,801</w:t>
            </w: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ordinary shares - diluted</w:t>
            </w:r>
          </w:p>
        </w:tc>
        <w:tc>
          <w:tcPr>
            <w:tcW w:w="16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32,492,044</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33,334,801</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1720"/>
              <w:spacing w:after="0"/>
              <w:rPr>
                <w:sz w:val="20"/>
                <w:szCs w:val="20"/>
                <w:color w:val="auto"/>
              </w:rPr>
            </w:pPr>
            <w:r>
              <w:rPr>
                <w:rFonts w:ascii="Arial" w:cs="Arial" w:eastAsia="Arial" w:hAnsi="Arial"/>
                <w:sz w:val="18"/>
                <w:szCs w:val="18"/>
                <w:color w:val="auto"/>
              </w:rPr>
              <w:t>Net loss per ordinary share:</w:t>
            </w: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(0.53)</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0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Diluted</w:t>
            </w:r>
          </w:p>
        </w:tc>
        <w:tc>
          <w:tcPr>
            <w:tcW w:w="16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50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40" w:type="dxa"/>
            <w:vAlign w:val="bottom"/>
            <w:vMerge w:val="restart"/>
          </w:tcPr>
          <w:p>
            <w:pPr>
              <w:jc w:val="right"/>
              <w:ind w:right="97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7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14" w:right="219" w:bottom="1440" w:gutter="0" w:footer="0" w:header="0"/>
        </w:sectPr>
      </w:pPr>
    </w:p>
    <w:bookmarkStart w:id="20" w:name="page21"/>
    <w:bookmarkEnd w:id="20"/>
    <w:p>
      <w:pPr>
        <w:ind w:right="240" w:firstLine="518"/>
        <w:spacing w:after="0" w:line="277" w:lineRule="auto"/>
        <w:rPr>
          <w:sz w:val="20"/>
          <w:szCs w:val="20"/>
          <w:color w:val="auto"/>
        </w:rPr>
      </w:pPr>
      <w:r>
        <w:rPr>
          <w:rFonts w:ascii="Arial" w:cs="Arial" w:eastAsia="Arial" w:hAnsi="Arial"/>
          <w:sz w:val="18"/>
          <w:szCs w:val="18"/>
          <w:color w:val="auto"/>
        </w:rPr>
        <w:t>The following weighted-average potentially dilutive securities were excluded from the computation of diluted loss per ordinary share as their effect would have been antidilutive: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7"/>
              </w:rPr>
              <w:t>Three Months Ended April 30,</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2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ordinary shares</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1,003,060</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1,192,294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926,156</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996,098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17,469</w:t>
            </w:r>
          </w:p>
        </w:tc>
        <w:tc>
          <w:tcPr>
            <w:tcW w:w="16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1,946,685</w:t>
            </w:r>
          </w:p>
        </w:tc>
        <w:tc>
          <w:tcPr>
            <w:tcW w:w="1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2,228,273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Income Taxes</w:t>
            </w: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9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40" w:type="dxa"/>
            <w:vAlign w:val="bottom"/>
            <w:gridSpan w:val="2"/>
          </w:tcPr>
          <w:p>
            <w:pPr>
              <w:ind w:left="520"/>
              <w:spacing w:after="0"/>
              <w:rPr>
                <w:sz w:val="20"/>
                <w:szCs w:val="20"/>
                <w:color w:val="auto"/>
              </w:rPr>
            </w:pPr>
            <w:r>
              <w:rPr>
                <w:rFonts w:ascii="Arial" w:cs="Arial" w:eastAsia="Arial" w:hAnsi="Arial"/>
                <w:sz w:val="18"/>
                <w:szCs w:val="18"/>
                <w:color w:val="auto"/>
              </w:rPr>
              <w:t>The following table provides details of income taxes for the periods indicated: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 April 30,</w:t>
            </w: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3"/>
          </w:tcPr>
          <w:p>
            <w:pPr>
              <w:jc w:val="center"/>
              <w:ind w:left="55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(16,045)</w:t>
            </w:r>
          </w:p>
        </w:tc>
        <w:tc>
          <w:tcPr>
            <w:tcW w:w="4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(9,158)</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1,266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(7.9)%</w:t>
            </w:r>
          </w:p>
        </w:tc>
        <w:tc>
          <w:tcPr>
            <w:tcW w:w="4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The Company recorded an income tax provision of $1.3 million and $0.8 million for the three months ended April 30, 2019 and 2018, respectively. The increase was primarily due to a decrease in the proportion of profits generated in lower tax jurisdictions and losses incurred in jurisdictions for which the Company was not able to recognize the related tax benefit, as well as an increase in non-deductible stock-based compensation.</w:t>
      </w:r>
    </w:p>
    <w:p>
      <w:pPr>
        <w:spacing w:after="0" w:line="14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The Company files federal and state income tax returns in the United States and in various foreign jurisdictions. The tax years 2013 to 2018 remain open to examination by U.S. federal tax authorities. The tax years 2009 to 2018 remain open to examination by U.S. state tax authorities. The tax years 2013 to 2018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54"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Company regularly assesses the likelihood of adverse outcomes resulting from potential tax examinations to determine the adequacy of its provision for income taxes. These assessments can require considerable estimates and judgments. As of April 30, 2019, the gross amount of unrecognized tax benefits was approximately $37.9 million.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The Company does not anticipate significant changes to its uncertain tax positions during the next twelve months.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 Manufacturer Commitments</w:t>
      </w:r>
    </w:p>
    <w:p>
      <w:pPr>
        <w:spacing w:after="0" w:line="11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only upon agreement between the Company and the third-party manufacturers. As of April 30, 2019 and January 31, 2019, total manufacturing purchase commitments were approximately $22.9 million and $28.2 million, respectively.</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and no liabilities have been recorded for these obligations in the condensed consolidated balance sheets as of April 30, 2019 and January 31, 2019, respectively.</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14. Segment Reporting</w:t>
      </w:r>
    </w:p>
    <w:p>
      <w:pPr>
        <w:spacing w:after="0" w:line="121" w:lineRule="exact"/>
        <w:rPr>
          <w:sz w:val="20"/>
          <w:szCs w:val="20"/>
          <w:color w:val="auto"/>
        </w:rPr>
      </w:pPr>
    </w:p>
    <w:p>
      <w:pPr>
        <w:ind w:right="480" w:firstLine="518"/>
        <w:spacing w:after="0" w:line="302" w:lineRule="auto"/>
        <w:rPr>
          <w:sz w:val="20"/>
          <w:szCs w:val="20"/>
          <w:color w:val="auto"/>
        </w:rPr>
      </w:pPr>
      <w:r>
        <w:rPr>
          <w:rFonts w:ascii="Arial" w:cs="Arial" w:eastAsia="Arial" w:hAnsi="Arial"/>
          <w:sz w:val="16"/>
          <w:szCs w:val="16"/>
          <w:color w:val="auto"/>
        </w:rPr>
        <w:t>The Company operates in one reportable segment related to the development and sales of low-power, high-definition (HD), Ultra HD video compression, image processing and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Geographic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Company’s revenue by geographic region based on bill-to location for the periods indicated:</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4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Three Months Ended April 30,</w:t>
            </w: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20" w:type="dxa"/>
            <w:vAlign w:val="bottom"/>
            <w:gridSpan w:val="4"/>
          </w:tcPr>
          <w:p>
            <w:pPr>
              <w:jc w:val="right"/>
              <w:ind w:right="570"/>
              <w:spacing w:after="0" w:line="155"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2420" w:type="dxa"/>
            <w:vAlign w:val="bottom"/>
            <w:gridSpan w:val="2"/>
            <w:shd w:val="clear" w:color="auto" w:fill="CFF0FC"/>
          </w:tcPr>
          <w:p>
            <w:pPr>
              <w:jc w:val="right"/>
              <w:ind w:right="767"/>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27,600</w:t>
            </w: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79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33,206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Asia Pacific</w:t>
            </w:r>
          </w:p>
        </w:tc>
        <w:tc>
          <w:tcPr>
            <w:tcW w:w="1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14,488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16,356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Europe</w:t>
            </w:r>
          </w:p>
        </w:tc>
        <w:tc>
          <w:tcPr>
            <w:tcW w:w="15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1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5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1500" w:type="dxa"/>
            <w:vAlign w:val="bottom"/>
          </w:tcPr>
          <w:p>
            <w:pPr>
              <w:spacing w:after="0"/>
              <w:rPr>
                <w:sz w:val="19"/>
                <w:szCs w:val="19"/>
                <w:color w:val="auto"/>
              </w:rPr>
            </w:pPr>
          </w:p>
        </w:tc>
        <w:tc>
          <w:tcPr>
            <w:tcW w:w="920" w:type="dxa"/>
            <w:vAlign w:val="bottom"/>
            <w:tcBorders>
              <w:bottom w:val="single" w:sz="8" w:color="auto"/>
            </w:tcBorders>
          </w:tcPr>
          <w:p>
            <w:pPr>
              <w:jc w:val="right"/>
              <w:ind w:right="76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47,188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9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56,938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As of April 30, 2019, substantially all of the Company’s property and equipment, net, were located in the United States, Asia Pacific region and Europe with approximate net amounts of $2.0 million, $3.0 million and $1.4 million, respectively.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Major Customers</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customers representing 10% or more of revenue and accounts receivable were Wintech and Chicony, which accounted for approximately 59% and 18% of total revenue for the three months ended April 30, 2019, respectively. For the three months ended April 30, 2018, the customers representing 10% or more of revenue and accounts receivable were Wintech, Hakuto Co., Ltd., or Hakuto, and Chicony, which accounted for approximately 58%, 12% and 11% of total revenue, respectively. Accounts receivable with Wintech and Chicony was approximately $13.2 million and $8.3 million as of April 30, 2019, respectively.</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On May 29, 2019, the Company’s Board of Directors authorized the additional repurchase of up to $50.0 million of the Company’s ordinary shares commencing immediately.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 As of June 7, 2019, there were no shares repurchased under this repurchase program.</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2019 and management’s discussion and analysis of our financial condition and results of operations included in our Annual Report on Form 10-K for the 2019 fiscal year filed with the Securities and Exchange Commission, or SEC, on March 29, 2019.</w:t>
      </w:r>
    </w:p>
    <w:p>
      <w:pPr>
        <w:spacing w:after="0" w:line="154" w:lineRule="exact"/>
        <w:rPr>
          <w:sz w:val="20"/>
          <w:szCs w:val="20"/>
          <w:color w:val="auto"/>
        </w:rPr>
      </w:pPr>
    </w:p>
    <w:p>
      <w:pPr>
        <w:ind w:right="20" w:firstLine="518"/>
        <w:spacing w:after="0" w:line="284" w:lineRule="auto"/>
        <w:rPr>
          <w:sz w:val="20"/>
          <w:szCs w:val="20"/>
          <w:color w:val="auto"/>
        </w:rPr>
      </w:pPr>
      <w:r>
        <w:rPr>
          <w:rFonts w:ascii="Arial" w:cs="Arial" w:eastAsia="Arial" w:hAnsi="Arial"/>
          <w:sz w:val="16"/>
          <w:szCs w:val="16"/>
          <w:i w:val="1"/>
          <w:iCs w:val="1"/>
          <w:color w:val="auto"/>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expectations about taxes and operating expenses, the availability of third-party components and economic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computer vision; our ability to effectively generate and manage growth; our ability to retain key employees; the potential for intellectual property disputes or other litigation; the risks described under Item 1A of Part II — “Risk Factors,” Item 2 of Part I — “Management’s Discussion and Analysis of Financial Condition and Results of Operations”;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are a leading developer of semiconductor processing solutions for video that enable high-definition, or HD, video capture, analysis, sharing and display. A device that captures video includes four primary components: a lens, an image sensor, a video processor and storage memory. The video processor converts raw video input into a format that can be stored and distributed efficiently and, in some cases, analyzes the video data to automate processes. We combine our processor design capabilities with our expertise in video and image processing, computer vision algorithms and software development to provide a technology platform that is designed to be easily scalable across multiple applications in a variety of markets and enable rapid and efficient product development for our customers. Our system-on-a-chip, or SoC, designs fully integrate HD video processing, image processing, artificial intelligence, or AI, computer vision, or CV, functionality, audio processing, and system functions onto a single chip, delivering exceptional video and image quality at high compression rates, differentiated functionality and low power consumption.</w:t>
      </w:r>
    </w:p>
    <w:p>
      <w:pPr>
        <w:spacing w:after="0" w:line="71" w:lineRule="exact"/>
        <w:rPr>
          <w:sz w:val="20"/>
          <w:szCs w:val="20"/>
          <w:color w:val="auto"/>
        </w:rPr>
      </w:pPr>
    </w:p>
    <w:p>
      <w:pPr>
        <w:ind w:right="300" w:firstLine="518"/>
        <w:spacing w:after="0" w:line="270" w:lineRule="auto"/>
        <w:rPr>
          <w:sz w:val="20"/>
          <w:szCs w:val="20"/>
          <w:color w:val="auto"/>
        </w:rPr>
      </w:pPr>
      <w:r>
        <w:rPr>
          <w:rFonts w:ascii="Arial" w:cs="Arial" w:eastAsia="Arial" w:hAnsi="Arial"/>
          <w:sz w:val="17"/>
          <w:szCs w:val="17"/>
          <w:color w:val="auto"/>
        </w:rPr>
        <w:t>Over the last several years, we have been expanding our development efforts on computer vision technology that not only complements our image processing and video compression technology, but also builds foundation to address significant opportunities in AI and CV applications for a variety of markets. We believe that enhanced computer vision functionality is critical both to our current video markets, such as IP security camera, as well as future markets such as automotive original equipment manufacturer, or OEM, cameras for advanced driving assistance systems, or ADAS, and autonomous vehicles, and robotics. Our recent development efforts have focused on creating advanced computer vision algorithms and high-performance, low-power hardware platforms to enhance processing acceleration, which we refer to as our CVflow architecture. We believe that the integration of our proprietary highly-optimized AI computer vision technology with our video processor provides an optimized CV platform. In 2017, we introduced our first computer vision semiconductor chip, the CV1 SoC. In 2018, we introduced three new computer vision-based SoCs to enable our customers to develop intelligent camera systems for a variety of markets at different feature levels.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3" w:name="page24"/>
    <w:bookmarkEnd w:id="23"/>
    <w:p>
      <w:pPr>
        <w:ind w:right="20" w:firstLine="518"/>
        <w:spacing w:after="0" w:line="271" w:lineRule="auto"/>
        <w:rPr>
          <w:sz w:val="20"/>
          <w:szCs w:val="20"/>
          <w:color w:val="auto"/>
        </w:rPr>
      </w:pPr>
      <w:r>
        <w:rPr>
          <w:rFonts w:ascii="Arial" w:cs="Arial" w:eastAsia="Arial" w:hAnsi="Arial"/>
          <w:sz w:val="17"/>
          <w:szCs w:val="17"/>
          <w:color w:val="auto"/>
        </w:rPr>
        <w:t>Our revenue over the last three years has been generated primarily from sales of our solutions for incorporation into specialized video and image capture devices such as wearable sports cameras, automotive aftermarket cameras, IP security cameras and cameras incorporated into unmanned aerial vehicles, or UAVs or drones. Our revenue from several of these markets, however, has recently experienced significant declines. As a result, we believe that our future revenue growth, if any, will significantly depend upon our ability to expand within the camera markets with our video and image processing SoC solutions, particularly in the professional IP security and home security and monitoring camera markets, as well as emerging markets such as the OEM automotive and robotics markets. We expect our research and development expenditures to increase in comparison to prior periods as we devote additional resources to the development of innovative video and image processing solutions with increased functionality, such as computer vision capabilities, and as we target new markets, such as the OEM automotive and robotics markets.</w:t>
      </w:r>
    </w:p>
    <w:p>
      <w:pPr>
        <w:spacing w:after="0" w:line="179"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sell our solutions to leading original design manufacturers, or ODMs, and OEMs globally, and in the automotive market, we also sell to Tier-1 Suppliers to OEMs. We refer to ODMs and Tier-1 automotive suppliers as our customers and OEMs as our end customers, except as otherwise indicated or as the context otherwise requires. In the camera market, our solutions enable the creation of high-quality video content in wearable cameras, automotive cameras, Internet Protocol, or IP, security cameras, for both professional use and home security and monitoring, unmanned aerial vehicle cameras, also referred to as UAVs or drones, and virtual reality cameras, also referred to as 360° cameras. We also recently introduced, and continue to develop solutions to address emerging markets, such as the incorporation of computer vision functionalities for AI-enabled security cameras, AI-based driving applications, including auto-parking, driver monitoring systems, advanced blind spot detection, object detection, and deep learning algorithms for HD mapping solutions, OEM automotive ADAS applications and robotics markets.</w:t>
      </w:r>
    </w:p>
    <w:p>
      <w:pPr>
        <w:spacing w:after="0" w:line="179"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along with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on behalf of the OEM. In some of the new markets we are addressing, such as AI-based automotive applications, it may take longer and require more resources to secure design wins than in our traditional markets.</w:t>
      </w:r>
    </w:p>
    <w:p>
      <w:pPr>
        <w:spacing w:after="0" w:line="18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Volume production may begin within six to 18 months or even longer after a design win, depending on the targeted market, the complexity of our customer’s product and other factors upon which we may have little or no influence. Once one of our solutions has been incorporated into a customer’s design, we believe that our solution is likely to remain a component of the customer’s product for its life cycle because of the time and expense associated with redesigning a product or substituting an alternative solution. Conversely, a design loss to a competitor will likely preclude any opportunity for us to generate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 portable consumer device typically has a product life cycle of six to 18 months, while an IP security camera typically has a product life cycle of 12 to 24 months. We anticipate that product lifecycles will typically be longer than 24 months in the OEM automotive and robotics markets, as new product introductions occur less frequently in these markets.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24" w:name="page25"/>
    <w:bookmarkEnd w:id="24"/>
    <w:p>
      <w:pPr>
        <w:ind w:left="520"/>
        <w:spacing w:after="0"/>
        <w:rPr>
          <w:sz w:val="20"/>
          <w:szCs w:val="20"/>
          <w:color w:val="auto"/>
        </w:rPr>
      </w:pPr>
      <w:r>
        <w:rPr>
          <w:rFonts w:ascii="Arial" w:cs="Arial" w:eastAsia="Arial" w:hAnsi="Arial"/>
          <w:sz w:val="18"/>
          <w:szCs w:val="18"/>
          <w:b w:val="1"/>
          <w:bCs w:val="1"/>
          <w:i w:val="1"/>
          <w:iCs w:val="1"/>
          <w:color w:val="auto"/>
        </w:rPr>
        <w:t>Financial Highlights and Trends</w:t>
      </w:r>
    </w:p>
    <w:p>
      <w:pPr>
        <w:spacing w:after="0" w:line="117" w:lineRule="exact"/>
        <w:rPr>
          <w:sz w:val="20"/>
          <w:szCs w:val="20"/>
          <w:color w:val="auto"/>
        </w:rPr>
      </w:pPr>
    </w:p>
    <w:p>
      <w:pPr>
        <w:ind w:left="1540" w:hanging="506"/>
        <w:spacing w:after="0" w:line="288" w:lineRule="auto"/>
        <w:tabs>
          <w:tab w:leader="none" w:pos="1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recorded revenue of $47.2 million for the three months ended April 30, 2019, a decrease of 17% as compared to the same period in the prior fiscal year. The decrease in revenue was primarily attributable to lower revenue from wearable camera markets, including sports camera, non-sports wearable camera, virtual reality, and drone markets. The decrease was also attributable to lower revenue from automotive markets, principally the video recorder market, caused by a significant slowdown in the automotive industry and promotional activity in fiscal year 2019 from a large automotive customer that did not recur in the current fiscal quarter. In the professional IP security camera market, revenue declined due to lower demand from our two largest China customers likely as a result of the recently enacted John S. McCain National Defense Authorization Act for Fiscal Year 2019. The decreased revenue was partially offset by significant revenue increased in the consumer IP security camera market, led by the home security and monitoring market in the North America region. In the sports camera market, incorporation of our solutions into newly launched sports camera products from Dajiang Innovation Technology Inc., or DJI, partially offset revenue loss from sales of our solutions to GoPro, Inc. or GoPro.</w:t>
      </w:r>
    </w:p>
    <w:p>
      <w:pPr>
        <w:spacing w:after="0" w:line="61" w:lineRule="exact"/>
        <w:rPr>
          <w:rFonts w:ascii="Arial" w:cs="Arial" w:eastAsia="Arial" w:hAnsi="Arial"/>
          <w:sz w:val="16"/>
          <w:szCs w:val="16"/>
          <w:color w:val="auto"/>
        </w:rPr>
      </w:pPr>
    </w:p>
    <w:p>
      <w:pPr>
        <w:ind w:left="1540" w:right="260" w:hanging="506"/>
        <w:spacing w:after="0" w:line="25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recorded an operating loss of $18.2 million for the three months ended April 30, 2019, as compared to an operating loss of $10.0 million for the three months ended April 30, 2018. The increased operating loss was primarily due to decreased revenue and gross margins and increased operating expenses incurred primarily in support of new applications for the automotive markets as well as the development of computer vision-based solutions. The increase in expenses related primarily to increased engineering headcount and increased stock-based compensation expense.</w:t>
      </w:r>
    </w:p>
    <w:p>
      <w:pPr>
        <w:spacing w:after="0" w:line="80" w:lineRule="exact"/>
        <w:rPr>
          <w:rFonts w:ascii="Arial" w:cs="Arial" w:eastAsia="Arial" w:hAnsi="Arial"/>
          <w:sz w:val="18"/>
          <w:szCs w:val="18"/>
          <w:color w:val="auto"/>
        </w:rPr>
      </w:pPr>
    </w:p>
    <w:p>
      <w:pPr>
        <w:ind w:left="1540" w:hanging="506"/>
        <w:spacing w:after="0" w:line="302" w:lineRule="auto"/>
        <w:tabs>
          <w:tab w:leader="none" w:pos="1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generated cash flows from operating activities of $5.3 million for the three months ended April 30, 2019, as compared to $64,000 for the three months ended April 30, 2018. The increased cash flows from operating activities were primarily due to increased liabilities associated with the timing of payments to suppliers. The increased cash flows were partially offset by an increased net loss adjusted for increased non-cash stock-based compensation expense and decreased cash receipts associated with timing of payments from customers.</w:t>
      </w:r>
    </w:p>
    <w:p>
      <w:pPr>
        <w:spacing w:after="0" w:line="46" w:lineRule="exact"/>
        <w:rPr>
          <w:rFonts w:ascii="Arial" w:cs="Arial" w:eastAsia="Arial" w:hAnsi="Arial"/>
          <w:sz w:val="16"/>
          <w:szCs w:val="16"/>
          <w:color w:val="auto"/>
        </w:rPr>
      </w:pPr>
    </w:p>
    <w:p>
      <w:pPr>
        <w:ind w:left="1540" w:right="60" w:hanging="506"/>
        <w:spacing w:after="0" w:line="273" w:lineRule="auto"/>
        <w:tabs>
          <w:tab w:leader="none" w:pos="1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Effective February 1, 2019, we adopted Accounting Standards Codification (“ASC”) Topic 842, Leases. Under this new guidance, we recognize leases as right-of-use (“ROU”) assets and corresponding lease liabilities at the lease commencement date based on the present value of future lease payments, while recognizing lease expenses under straight-line method through the lease term. As of April 30, 2019, there was approximately $7.9 million of ROU, net of amortization expense, and $8.0 million of lease liabilities recorded in the condensed consolidated balance sheets. For the three months ended April 30, 2019, there was approximately $0.7 million of lease expense recorded in the condensed consolidated statements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21"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i w:val="1"/>
          <w:iCs w:val="1"/>
          <w:color w:val="auto"/>
        </w:rPr>
        <w:t>Design Wins</w:t>
      </w:r>
      <w:r>
        <w:rPr>
          <w:rFonts w:ascii="Arial" w:cs="Arial" w:eastAsia="Arial" w:hAnsi="Arial"/>
          <w:sz w:val="16"/>
          <w:szCs w:val="16"/>
          <w:color w:val="auto"/>
        </w:rPr>
        <w:t>. We closely monitor design wins by customer and end market. We consider design wins to be critical to our future success, although a</w:t>
      </w:r>
      <w:r>
        <w:rPr>
          <w:rFonts w:ascii="Arial" w:cs="Arial" w:eastAsia="Arial" w:hAnsi="Arial"/>
          <w:sz w:val="16"/>
          <w:szCs w:val="16"/>
          <w:i w:val="1"/>
          <w:iCs w:val="1"/>
          <w:color w:val="auto"/>
        </w:rPr>
        <w:t xml:space="preserve"> </w:t>
      </w:r>
      <w:r>
        <w:rPr>
          <w:rFonts w:ascii="Arial" w:cs="Arial" w:eastAsia="Arial" w:hAnsi="Arial"/>
          <w:sz w:val="16"/>
          <w:szCs w:val="16"/>
          <w:color w:val="auto"/>
        </w:rPr>
        <w:t>design win may not successfully materialize into revenue, and even if it does result in revenue, the amount generated by each design win can vary significantly. Our long-term sales expectations are based on forecasts from customers and internal estimations of customer demand factoring in the expected time to market for end customer products incorporating our solutions and associated revenue potential. Our ability to accurately forecast demand, however, can be adversely affected by a number of factors, including inaccurate forecasting by our customers, miscalculations by our customers of their inventory requirements, changes in market conditions, adverse changes in our product order mix and fluctuating demand for our customers’ products.</w:t>
      </w:r>
    </w:p>
    <w:p>
      <w:pPr>
        <w:spacing w:after="0" w:line="165" w:lineRule="exact"/>
        <w:rPr>
          <w:sz w:val="20"/>
          <w:szCs w:val="20"/>
          <w:color w:val="auto"/>
        </w:rPr>
      </w:pPr>
    </w:p>
    <w:p>
      <w:pPr>
        <w:ind w:right="220" w:firstLine="518"/>
        <w:spacing w:after="0" w:line="273" w:lineRule="auto"/>
        <w:rPr>
          <w:sz w:val="20"/>
          <w:szCs w:val="20"/>
          <w:color w:val="auto"/>
        </w:rPr>
      </w:pPr>
      <w:r>
        <w:rPr>
          <w:rFonts w:ascii="Arial" w:cs="Arial" w:eastAsia="Arial" w:hAnsi="Arial"/>
          <w:sz w:val="17"/>
          <w:szCs w:val="17"/>
          <w:i w:val="1"/>
          <w:iCs w:val="1"/>
          <w:color w:val="auto"/>
        </w:rPr>
        <w:t>Pricing, Product Cost and Margin</w:t>
      </w:r>
      <w:r>
        <w:rPr>
          <w:rFonts w:ascii="Arial" w:cs="Arial" w:eastAsia="Arial" w:hAnsi="Arial"/>
          <w:sz w:val="17"/>
          <w:szCs w:val="17"/>
          <w:color w:val="auto"/>
        </w:rPr>
        <w:t>. Our pricing and margins depend on the volumes and features of the solutions we provide to our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178"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5" w:name="page26"/>
    <w:bookmarkEnd w:id="25"/>
    <w:p>
      <w:pPr>
        <w:ind w:firstLine="518"/>
        <w:spacing w:after="0" w:line="257" w:lineRule="auto"/>
        <w:rPr>
          <w:sz w:val="20"/>
          <w:szCs w:val="20"/>
          <w:color w:val="auto"/>
        </w:rPr>
      </w:pPr>
      <w:r>
        <w:rPr>
          <w:rFonts w:ascii="Arial" w:cs="Arial" w:eastAsia="Arial" w:hAnsi="Arial"/>
          <w:sz w:val="18"/>
          <w:szCs w:val="18"/>
          <w:i w:val="1"/>
          <w:iCs w:val="1"/>
          <w:color w:val="auto"/>
        </w:rPr>
        <w:t>Ability to Capitalize on Computer Vision Trends</w:t>
      </w:r>
      <w:r>
        <w:rPr>
          <w:rFonts w:ascii="Arial" w:cs="Arial" w:eastAsia="Arial" w:hAnsi="Arial"/>
          <w:sz w:val="18"/>
          <w:szCs w:val="18"/>
          <w:color w:val="auto"/>
        </w:rPr>
        <w:t>. We expect that computer vision functionality will become an increasingly important requirement in</w:t>
      </w:r>
      <w:r>
        <w:rPr>
          <w:rFonts w:ascii="Arial" w:cs="Arial" w:eastAsia="Arial" w:hAnsi="Arial"/>
          <w:sz w:val="18"/>
          <w:szCs w:val="18"/>
          <w:i w:val="1"/>
          <w:iCs w:val="1"/>
          <w:color w:val="auto"/>
        </w:rPr>
        <w:t xml:space="preserve"> </w:t>
      </w:r>
      <w:r>
        <w:rPr>
          <w:rFonts w:ascii="Arial" w:cs="Arial" w:eastAsia="Arial" w:hAnsi="Arial"/>
          <w:sz w:val="18"/>
          <w:szCs w:val="18"/>
          <w:color w:val="auto"/>
        </w:rPr>
        <w:t>many of our current and future markets, including IP security, automotive, robotics, and UAV markets. As a result, we believe that our ability to develop advanced AI computer vision technology, enable and support customer product development in emerging applications, such as ADAS, advanced blind spot detection, object detection, people recognition, retail analytics, and machine learning, and gain customer acceptance of our technology platform and solutions, will be critical to our future success.</w:t>
      </w:r>
    </w:p>
    <w:p>
      <w:pPr>
        <w:spacing w:after="0" w:line="18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i w:val="1"/>
          <w:iCs w:val="1"/>
          <w:color w:val="auto"/>
        </w:rPr>
        <w:t xml:space="preserve">Shifting Consumer Preferences. </w:t>
      </w:r>
      <w:r>
        <w:rPr>
          <w:rFonts w:ascii="Arial" w:cs="Arial" w:eastAsia="Arial" w:hAnsi="Arial"/>
          <w:sz w:val="17"/>
          <w:szCs w:val="17"/>
          <w:color w:val="auto"/>
        </w:rPr>
        <w:t>Our revenue is also subject to consumer preferences, regarding form factor and functionality, and how those</w:t>
      </w:r>
      <w:r>
        <w:rPr>
          <w:rFonts w:ascii="Arial" w:cs="Arial" w:eastAsia="Arial" w:hAnsi="Arial"/>
          <w:sz w:val="17"/>
          <w:szCs w:val="17"/>
          <w:i w:val="1"/>
          <w:iCs w:val="1"/>
          <w:color w:val="auto"/>
        </w:rPr>
        <w:t xml:space="preserve"> </w:t>
      </w:r>
      <w:r>
        <w:rPr>
          <w:rFonts w:ascii="Arial" w:cs="Arial" w:eastAsia="Arial" w:hAnsi="Arial"/>
          <w:sz w:val="17"/>
          <w:szCs w:val="17"/>
          <w:color w:val="auto"/>
        </w:rPr>
        <w:t>preferences impact the video and image capture electronics that we support. For example, improved smartphone video capture capabilities led to the decline of video cameras aimed at the video and image capture market. The current video and image capture market is now characterized by a greater volume of more specialized video and image capture devices that are less likely to be replaced with smartphones, such as wearable, IP security, UAV and automotive cameras. This increasing specialization of video capture devices has changed our customer base and end markets and has impacted our revenue. In the future, we expect further changes will continue to impact our business performance in those markets.</w:t>
      </w:r>
    </w:p>
    <w:p>
      <w:pPr>
        <w:spacing w:after="0" w:line="178"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i w:val="1"/>
          <w:iCs w:val="1"/>
          <w:color w:val="auto"/>
        </w:rPr>
        <w:t>Continued Concentration of Revenue by End Market</w:t>
      </w:r>
      <w:r>
        <w:rPr>
          <w:rFonts w:ascii="Arial" w:cs="Arial" w:eastAsia="Arial" w:hAnsi="Arial"/>
          <w:sz w:val="17"/>
          <w:szCs w:val="17"/>
          <w:color w:val="auto"/>
        </w:rPr>
        <w:t>. Historically, our revenue has been significantly concentrated in a small number of end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In fiscal year 2010, the majority of our revenue came from the pocket video, camcorder and infrastructure markets. Since that time, we have developed technologies to provide solutions for new markets as they emerged, such as the wearable, IP security, UAV and automotive video recorder camera markets. Since fiscal year 2013, the wearable sports, professional IP security and UAV markets have been our largest end markets and sales into these markets collectively generated the majority of our revenue. We believe, however, that expansion into new markets is required to facilitate revenue growth and customer diversification as our revenue from the wearable camera and UAV camera markets has declined in recent years. We have recently introduced solutions to address emerging applications and markets, such as the incorporation of computer vision functionalities for AI-enabled security cameras, AI-based driving applications, including auto-parking, driver monitoring systems, advanced blind spot detection, object detection, deep learning algorithms for HD mapping solutions, OEM automotive ADAS applications and robotics markets. While we will continue to seek to expand our end market exposure, we anticipate that sales to a limited number of end markets will continue to account for a significant percentage of our total revenue for the foreseeable future. Our end market concentration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83"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i w:val="1"/>
          <w:iCs w:val="1"/>
          <w:color w:val="auto"/>
        </w:rPr>
        <w:t>Ability to Capitalize on Connectivity Trends</w:t>
      </w:r>
      <w:r>
        <w:rPr>
          <w:rFonts w:ascii="Arial" w:cs="Arial" w:eastAsia="Arial" w:hAnsi="Arial"/>
          <w:sz w:val="17"/>
          <w:szCs w:val="17"/>
          <w:color w:val="auto"/>
        </w:rPr>
        <w:t>. Mobile connected devices are ubiquitous today and play an increasingly prominent role in consumers’</w:t>
      </w:r>
      <w:r>
        <w:rPr>
          <w:rFonts w:ascii="Arial" w:cs="Arial" w:eastAsia="Arial" w:hAnsi="Arial"/>
          <w:sz w:val="17"/>
          <w:szCs w:val="17"/>
          <w:i w:val="1"/>
          <w:iCs w:val="1"/>
          <w:color w:val="auto"/>
        </w:rPr>
        <w:t xml:space="preserve"> </w:t>
      </w:r>
      <w:r>
        <w:rPr>
          <w:rFonts w:ascii="Arial" w:cs="Arial" w:eastAsia="Arial" w:hAnsi="Arial"/>
          <w:sz w:val="17"/>
          <w:szCs w:val="17"/>
          <w:color w:val="auto"/>
        </w:rPr>
        <w:t>lives. The constant connectivity provided by these devices has created a demand for connected electronic peripherals such as video and image capture devices. Our ability to capitalize on these trends by supporting our end customers in the development of connected peripherals that seamlessly cooperate with other connected devices and allow consumers to distribute and share video and images with online media platforms is critical for our success. We have added wireless communication functionality into our solutions for wearable, IP security, UAV and automotive video recorder cameras. The combination of our compression technology with wireless connectivity enables wireless video streaming and uploading of videos and images to the Internet. Our solutions enable IP security camera systems to stream video content to either cloud infrastructure or connected mobile devices, and our solutions for wearable and UAV cameras allow consumers to quickly stream or upload video and images to social media platforms.</w:t>
      </w:r>
    </w:p>
    <w:p>
      <w:pPr>
        <w:spacing w:after="0" w:line="179"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i w:val="1"/>
          <w:iCs w:val="1"/>
          <w:color w:val="auto"/>
        </w:rPr>
        <w:t>Sales Volume</w:t>
      </w:r>
      <w:r>
        <w:rPr>
          <w:rFonts w:ascii="Arial" w:cs="Arial" w:eastAsia="Arial" w:hAnsi="Arial"/>
          <w:sz w:val="16"/>
          <w:szCs w:val="16"/>
          <w:color w:val="auto"/>
        </w:rPr>
        <w:t>. A typical camera design win that successfully launches into the marketplace can generate a wide range of sales volumes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depending on the end market demand for our customers’ products. This can depend on several factors, including the reputation of the end customer, market penetration, product capabilities, size of the end market that the product addresses and our end customers’ ability to sell their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158"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i w:val="1"/>
          <w:iCs w:val="1"/>
          <w:color w:val="auto"/>
        </w:rPr>
        <w:t xml:space="preserve">Customer Product Life Cycle. </w:t>
      </w:r>
      <w:r>
        <w:rPr>
          <w:rFonts w:ascii="Arial" w:cs="Arial" w:eastAsia="Arial" w:hAnsi="Arial"/>
          <w:sz w:val="18"/>
          <w:szCs w:val="18"/>
          <w:color w:val="auto"/>
        </w:rPr>
        <w:t>We estimate our customers’ product life cycles based on the customer, type of product and end market. We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commence commercial shipments from six to 18 months following a design win; however, in some markets, more lengthy product and development cycles are possible, depending on the scope and nature of the project, such as in the automotive OEM market. A portable consumer device typically has a product life cycle of six to 18 months, and an IP security camera typically has a product life cycle of 12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statement of operations for the periods indicated:</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April 30,</w:t>
            </w:r>
          </w:p>
        </w:tc>
      </w:tr>
      <w:tr>
        <w:trPr>
          <w:trHeight w:val="156"/>
        </w:trPr>
        <w:tc>
          <w:tcPr>
            <w:tcW w:w="54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80" w:type="dxa"/>
            <w:vAlign w:val="bottom"/>
            <w:gridSpan w:val="4"/>
          </w:tcPr>
          <w:p>
            <w:pPr>
              <w:jc w:val="right"/>
              <w:ind w:right="491"/>
              <w:spacing w:after="0" w:line="155" w:lineRule="exact"/>
              <w:rPr>
                <w:sz w:val="20"/>
                <w:szCs w:val="20"/>
                <w:color w:val="auto"/>
              </w:rPr>
            </w:pPr>
            <w:r>
              <w:rPr>
                <w:rFonts w:ascii="Arial" w:cs="Arial" w:eastAsia="Arial" w:hAnsi="Arial"/>
                <w:sz w:val="14"/>
                <w:szCs w:val="14"/>
                <w:b w:val="1"/>
                <w:bCs w:val="1"/>
                <w:color w:val="auto"/>
              </w:rPr>
              <w:t>(dollars in thousands)</w:t>
            </w: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56,938</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19,335</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22,046</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27,853</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34,892</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33,017</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31,664</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13,077</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13,178</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46,094</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44,842</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ind w:left="50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(18,241)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(9,950)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ind w:left="500"/>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(16,045)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(9,158)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ind w:left="50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(17,311)</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(10,006)</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operating results as a percentage of revenue of each line item for the periods indicated:</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46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April 30,</w:t>
            </w:r>
          </w:p>
        </w:tc>
        <w:tc>
          <w:tcPr>
            <w:tcW w:w="200" w:type="dxa"/>
            <w:vAlign w:val="bottom"/>
          </w:tcPr>
          <w:p>
            <w:pPr>
              <w:spacing w:after="0"/>
              <w:rPr>
                <w:sz w:val="14"/>
                <w:szCs w:val="14"/>
                <w:color w:val="auto"/>
              </w:rPr>
            </w:pPr>
          </w:p>
        </w:tc>
      </w:tr>
      <w:tr>
        <w:trPr>
          <w:trHeight w:val="156"/>
        </w:trPr>
        <w:tc>
          <w:tcPr>
            <w:tcW w:w="532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53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7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60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30"/>
        </w:trPr>
        <w:tc>
          <w:tcPr>
            <w:tcW w:w="6040" w:type="dxa"/>
            <w:vAlign w:val="bottom"/>
            <w:gridSpan w:val="2"/>
          </w:tcPr>
          <w:p>
            <w:pPr>
              <w:ind w:left="24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53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r>
      <w:tr>
        <w:trPr>
          <w:trHeight w:val="223"/>
        </w:trPr>
        <w:tc>
          <w:tcPr>
            <w:tcW w:w="5320" w:type="dxa"/>
            <w:vAlign w:val="bottom"/>
          </w:tcPr>
          <w:p>
            <w:pPr>
              <w:ind w:left="500"/>
              <w:spacing w:after="0"/>
              <w:rPr>
                <w:sz w:val="20"/>
                <w:szCs w:val="20"/>
                <w:color w:val="auto"/>
              </w:rPr>
            </w:pPr>
            <w:r>
              <w:rPr>
                <w:rFonts w:ascii="Arial" w:cs="Arial" w:eastAsia="Arial" w:hAnsi="Arial"/>
                <w:sz w:val="18"/>
                <w:szCs w:val="18"/>
                <w:color w:val="auto"/>
              </w:rPr>
              <w:t>Loss from operations</w:t>
            </w: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6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23"/>
        </w:trPr>
        <w:tc>
          <w:tcPr>
            <w:tcW w:w="5320" w:type="dxa"/>
            <w:vAlign w:val="bottom"/>
          </w:tcPr>
          <w:p>
            <w:pPr>
              <w:ind w:left="500"/>
              <w:spacing w:after="0"/>
              <w:rPr>
                <w:sz w:val="20"/>
                <w:szCs w:val="20"/>
                <w:color w:val="auto"/>
              </w:rPr>
            </w:pPr>
            <w:r>
              <w:rPr>
                <w:rFonts w:ascii="Arial" w:cs="Arial" w:eastAsia="Arial" w:hAnsi="Arial"/>
                <w:sz w:val="18"/>
                <w:szCs w:val="18"/>
                <w:color w:val="auto"/>
              </w:rPr>
              <w:t>Loss before income taxes</w:t>
            </w:r>
          </w:p>
        </w:tc>
        <w:tc>
          <w:tcPr>
            <w:tcW w:w="7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23"/>
        </w:trPr>
        <w:tc>
          <w:tcPr>
            <w:tcW w:w="5320" w:type="dxa"/>
            <w:vAlign w:val="bottom"/>
          </w:tcPr>
          <w:p>
            <w:pPr>
              <w:ind w:left="500"/>
              <w:spacing w:after="0"/>
              <w:rPr>
                <w:sz w:val="20"/>
                <w:szCs w:val="20"/>
                <w:color w:val="auto"/>
              </w:rPr>
            </w:pPr>
            <w:r>
              <w:rPr>
                <w:rFonts w:ascii="Arial" w:cs="Arial" w:eastAsia="Arial" w:hAnsi="Arial"/>
                <w:sz w:val="18"/>
                <w:szCs w:val="18"/>
                <w:color w:val="auto"/>
              </w:rPr>
              <w:t>Net loss</w:t>
            </w:r>
          </w:p>
        </w:tc>
        <w:tc>
          <w:tcPr>
            <w:tcW w:w="7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5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derive substantially all of our revenue from the sale of HD and Ultra HD video and image processing SoC solutions to OEMs and ODMs or Tier-1 automotive suppliers, either directly or through our distributors. In recent years, our SoC solutions have been primarily used in camera markets, such as IP security, automotive video recorder, drone and wearable cameras. Although we expect these camera markets, in particular the IP security camera market, to continue to generate revenue for the foreseeable future, we have recently introduced new SoCs targeting emerging computer vision applications in the IP security, OEM automotive, and robotics markets. We derive a substantial portion of our revenue from sales made indirectly through one of our distributors, Wintech Microelectronics Co., Ltd., or Wintech, and directly to one of our ODM customers, Chicony Electronics Co., Ltd., or Chicony.</w:t>
      </w:r>
    </w:p>
    <w:p>
      <w:pPr>
        <w:spacing w:after="0" w:line="165"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have historically experienced seasonal fluctuations in our quarterly revenue with our third fiscal quarter normally being the highest revenue quarter. This fluctuation has been driven primarily by increased sales in consumer camera markets as our customers build inventories in preparation for the holiday shopping season. Due to experienced declines in demand for our solutions in several consumer camera markets, including wearable camera, virtual reality and drone markets, the seasonal impact on quarterly revenue would not be significant. More generally, our average selling prices fluctuate based on the mix of our solutions sold in a period which reflects the impact of both changes in unit sales of existing solutions as well as the introduction and sales of new solutions. Our solutions are typically characterized by a life cycle that begins with higher average selling prices and lower volumes, followed by broader market adoption, higher volumes and average selling prices that are lower than initial levels.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27" w:name="page28"/>
    <w:bookmarkEnd w:id="27"/>
    <w:p>
      <w:pPr>
        <w:ind w:firstLine="518"/>
        <w:spacing w:after="0" w:line="259" w:lineRule="auto"/>
        <w:rPr>
          <w:sz w:val="20"/>
          <w:szCs w:val="20"/>
          <w:color w:val="auto"/>
        </w:rPr>
      </w:pPr>
      <w:r>
        <w:rPr>
          <w:rFonts w:ascii="Arial" w:cs="Arial" w:eastAsia="Arial" w:hAnsi="Arial"/>
          <w:sz w:val="18"/>
          <w:szCs w:val="18"/>
          <w:color w:val="auto"/>
        </w:rPr>
        <w:t>The end markets into which we sell our products have seen significant changes as consumer preferences have evolved in response to new technologies. As a result, the composition and timing of our revenue may differ meaningfully during periods of technology or consumer preference changes. We expect shifts in consumer use of video capture to continue to change over time, as computer vision specialized use cases emerge and video capture continues to proliferate.</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17" w:lineRule="exact"/>
        <w:rPr>
          <w:sz w:val="20"/>
          <w:szCs w:val="20"/>
          <w:color w:val="auto"/>
        </w:rPr>
      </w:pPr>
    </w:p>
    <w:p>
      <w:pPr>
        <w:jc w:val="both"/>
        <w:ind w:right="520" w:firstLine="518"/>
        <w:spacing w:after="0" w:line="264" w:lineRule="auto"/>
        <w:rPr>
          <w:sz w:val="20"/>
          <w:szCs w:val="20"/>
          <w:color w:val="auto"/>
        </w:rPr>
      </w:pPr>
      <w:r>
        <w:rPr>
          <w:rFonts w:ascii="Arial" w:cs="Arial" w:eastAsia="Arial" w:hAnsi="Arial"/>
          <w:sz w:val="18"/>
          <w:szCs w:val="18"/>
          <w:color w:val="auto"/>
        </w:rPr>
        <w:t>Cost of revenue includes the cost of materials such as wafers processed by third-party foundries, costs associated with packaging, assembly and testing, and our manufacturing support operations such as logistics, planning and quality assurance. Cost of revenue also includes indirect costs such as warranty, inventory valuation reserves and other general overhead costs.</w:t>
      </w:r>
    </w:p>
    <w:p>
      <w:pPr>
        <w:spacing w:after="0" w:line="181"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We expect that our gross margin may fluctuate from period to period as a result of changes in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 We believe that our gross margin will decline in the future as we continue to penetrate the highly competitive camera market and, in particular, the IP security market.</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Research and development expense consists primarily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 of fabrication of mask sets for prototype products, and allocated depreciation and facility expenses. All research and development costs are expensed as incurred. We expect our research and development expense to increase in absolute dollars as we continue to enhance and expand our product features and offerings and increase headcount for new SoC development and development of computer vision technology, especially for the OEM automotive market.</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Selling, general and administrative expense consists primarily of personnel costs, including salaries, stock-based compensation and employee benefits for our sales, marketing, finance, human resources, information technology and administrative personnel. The expense also includes professional service costs related to accounting, tax,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computer vision technology.</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Other income, net, consists primarily of interest income from investments in debt securities, interest income from deposits with financial institutions and subsidies granted from foreign governments.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We are incorporated and domiciled in the Cayman Islands and also conduct business in several countries such as the United States, China, Taiwan, Hong Kong, Italy, South Korea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was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ind w:firstLine="518"/>
        <w:spacing w:after="0" w:line="273" w:lineRule="auto"/>
        <w:rPr>
          <w:sz w:val="20"/>
          <w:szCs w:val="20"/>
          <w:color w:val="auto"/>
        </w:rPr>
      </w:pPr>
      <w:r>
        <w:rPr>
          <w:rFonts w:ascii="Arial" w:cs="Arial" w:eastAsia="Arial" w:hAnsi="Arial"/>
          <w:sz w:val="17"/>
          <w:szCs w:val="17"/>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provision for income taxes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uncertain tax position reserves and changes to reserves that are considered appropriate, as well as the related net interest and penalties.</w:t>
      </w:r>
    </w:p>
    <w:p>
      <w:pPr>
        <w:spacing w:after="0" w:line="178"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Significant judgment is also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April 30, 2019 and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Three Months Ended April 30,</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2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6"/>
        </w:trPr>
        <w:tc>
          <w:tcPr>
            <w:tcW w:w="2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20" w:type="dxa"/>
            <w:vAlign w:val="bottom"/>
            <w:gridSpan w:val="3"/>
          </w:tcPr>
          <w:p>
            <w:pPr>
              <w:jc w:val="right"/>
              <w:ind w:right="388"/>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30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4"/>
              </w:rPr>
              <w:t>47,188</w:t>
            </w:r>
          </w:p>
        </w:tc>
        <w:tc>
          <w:tcPr>
            <w:tcW w:w="104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56,938</w:t>
            </w:r>
          </w:p>
        </w:tc>
        <w:tc>
          <w:tcPr>
            <w:tcW w:w="1240" w:type="dxa"/>
            <w:vAlign w:val="bottom"/>
            <w:gridSpan w:val="2"/>
            <w:shd w:val="clear" w:color="auto" w:fill="CFF0FC"/>
          </w:tcPr>
          <w:p>
            <w:pPr>
              <w:jc w:val="right"/>
              <w:ind w:right="82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499"/>
              <w:spacing w:after="0"/>
              <w:rPr>
                <w:sz w:val="20"/>
                <w:szCs w:val="20"/>
                <w:color w:val="auto"/>
              </w:rPr>
            </w:pPr>
            <w:r>
              <w:rPr>
                <w:rFonts w:ascii="Arial" w:cs="Arial" w:eastAsia="Arial" w:hAnsi="Arial"/>
                <w:sz w:val="18"/>
                <w:szCs w:val="18"/>
                <w:color w:val="auto"/>
                <w:w w:val="91"/>
              </w:rPr>
              <w:t>(9,750)</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r>
    </w:tbl>
    <w:p>
      <w:pPr>
        <w:spacing w:after="0" w:line="20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decreased revenue for the three months ended April 30, 2019, as compared to the same period in the prior fiscal year, was primarily attributable to lower revenue from wearable camera markets, including sports camera, non-sports wearable camera, virtual reality, and drone markets. The decrease was also attributable to lower revenue from automotive markets, principally the video recorder market, caused by a significant slowdown in the automotive industry and promotional activity in fiscal year 2019 from a large automotive customer that did not recur in the current fiscal quarter. In the professional IP security camera market, revenue declined due to lower demand from our two largest China customers likely as a result of the recently enacted John S. McCain National Defense Authorization Act for Fiscal Year 2019. The decreased revenue was partially offset by significant revenue increased in the consumer IP security camera market, led by the home security and monitoring market in the North America region. In the sports camera market, incorporation of our solutions into newly launched sports camera products from Dajiang Innovation Technology Inc., or DJI, partially offset revenue loss from sales of our solutions to GoPro, Inc. or GoPro.</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rPr>
              <w:t>Three Months Ended April 30,</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2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1017"/>
              <w:spacing w:after="0" w:line="155" w:lineRule="exact"/>
              <w:rPr>
                <w:sz w:val="20"/>
                <w:szCs w:val="20"/>
                <w:color w:val="auto"/>
              </w:rPr>
            </w:pPr>
            <w:r>
              <w:rPr>
                <w:rFonts w:ascii="Arial" w:cs="Arial" w:eastAsia="Arial" w:hAnsi="Arial"/>
                <w:sz w:val="14"/>
                <w:szCs w:val="14"/>
                <w:b w:val="1"/>
                <w:bCs w:val="1"/>
                <w:color w:val="auto"/>
                <w:w w:val="94"/>
              </w:rPr>
              <w:t>Amount</w:t>
            </w:r>
          </w:p>
        </w:tc>
        <w:tc>
          <w:tcPr>
            <w:tcW w:w="106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6"/>
        </w:trPr>
        <w:tc>
          <w:tcPr>
            <w:tcW w:w="2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60" w:type="dxa"/>
            <w:vAlign w:val="bottom"/>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1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00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0"/>
              </w:rPr>
              <w:t>19,335</w:t>
            </w:r>
          </w:p>
        </w:tc>
        <w:tc>
          <w:tcPr>
            <w:tcW w:w="98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22,046</w:t>
            </w:r>
          </w:p>
        </w:tc>
        <w:tc>
          <w:tcPr>
            <w:tcW w:w="2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497"/>
              <w:spacing w:after="0"/>
              <w:rPr>
                <w:sz w:val="20"/>
                <w:szCs w:val="20"/>
                <w:color w:val="auto"/>
              </w:rPr>
            </w:pPr>
            <w:r>
              <w:rPr>
                <w:rFonts w:ascii="Arial" w:cs="Arial" w:eastAsia="Arial" w:hAnsi="Arial"/>
                <w:sz w:val="18"/>
                <w:szCs w:val="18"/>
                <w:color w:val="auto"/>
              </w:rPr>
              <w:t>(2,711)</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Gross profit</w:t>
            </w: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w w:val="90"/>
              </w:rPr>
              <w:t>27,853</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34,892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tcPr>
          <w:p>
            <w:pPr>
              <w:jc w:val="right"/>
              <w:ind w:right="497"/>
              <w:spacing w:after="0"/>
              <w:rPr>
                <w:sz w:val="20"/>
                <w:szCs w:val="20"/>
                <w:color w:val="auto"/>
              </w:rPr>
            </w:pPr>
            <w:r>
              <w:rPr>
                <w:rFonts w:ascii="Arial" w:cs="Arial" w:eastAsia="Arial" w:hAnsi="Arial"/>
                <w:sz w:val="18"/>
                <w:szCs w:val="18"/>
                <w:color w:val="auto"/>
              </w:rPr>
              <w:t>(7,039)</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9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55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bl>
    <w:p>
      <w:pPr>
        <w:spacing w:after="0" w:line="20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Cost of revenue decreased for the three months ended April 30, 2019, as compared to the same period in the prior fiscal year, primarily due to decreased revenue in the wearable camera, drone and automotive camera markets. The decrease in cost of revenue was partially offset by increased shipments of SoCs for the IP security camera market.</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Gross margin decreased for the three months ended April 30, 2019, as compared to the same period in the prior fiscal year, primarily due to an increase in the percentage of our total revenue that was derived from the lower gross margin IP security camera market combined with the decline in revenue from the higher gross margin sports camera and drone markets.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2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2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40" w:type="dxa"/>
            <w:vAlign w:val="bottom"/>
            <w:gridSpan w:val="3"/>
          </w:tcPr>
          <w:p>
            <w:pPr>
              <w:jc w:val="right"/>
              <w:ind w:right="408"/>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8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4"/>
              </w:rPr>
              <w:t>33,017</w:t>
            </w:r>
          </w:p>
        </w:tc>
        <w:tc>
          <w:tcPr>
            <w:tcW w:w="104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31,664</w:t>
            </w:r>
          </w:p>
        </w:tc>
        <w:tc>
          <w:tcPr>
            <w:tcW w:w="126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w w:val="93"/>
              </w:rPr>
              <w:t>1,353</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ind w:firstLine="518"/>
        <w:spacing w:after="0" w:line="254" w:lineRule="auto"/>
        <w:rPr>
          <w:sz w:val="20"/>
          <w:szCs w:val="20"/>
          <w:color w:val="auto"/>
        </w:rPr>
      </w:pPr>
      <w:r>
        <w:rPr>
          <w:rFonts w:ascii="Arial" w:cs="Arial" w:eastAsia="Arial" w:hAnsi="Arial"/>
          <w:sz w:val="18"/>
          <w:szCs w:val="18"/>
          <w:color w:val="auto"/>
        </w:rPr>
        <w:t>Research and development expense increased for the three months ended April 30, 2019, as compared to the same period in the prior fiscal year, primarily due to an increase in engineering headcount to support the computer vision technology development for our current markets, as well as new markets such as the automotive and robotics markets. Our engineering headcount increased to 557 at April 30, 2019 compared to 540 at April 30, 2018, which resulted in an increase in salary-related expenses of approximately $0.9 million for the three months ended April 30, 2019. The increased research and development expense was also attributable to additional employee benefit expense of approximately $0.7 million for the three months ended April 30, 2019, as a result of issuance of equity for newly hired employees and our annual cash bonus and evergreen stock programs for existing employees. The SoC development cost was relatively flat for the three months ended April 30, 2019, as compared to the same period in the prior fiscal year, due to the timing and number of chips in development.</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Three Months Ended April 30,</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2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0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r>
      <w:tr>
        <w:trPr>
          <w:trHeight w:val="156"/>
        </w:trPr>
        <w:tc>
          <w:tcPr>
            <w:tcW w:w="2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80" w:type="dxa"/>
            <w:vAlign w:val="bottom"/>
            <w:gridSpan w:val="3"/>
          </w:tcPr>
          <w:p>
            <w:pPr>
              <w:jc w:val="right"/>
              <w:ind w:right="448"/>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29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gridSpan w:val="2"/>
            <w:shd w:val="clear" w:color="auto" w:fill="CFF0FC"/>
          </w:tcPr>
          <w:p>
            <w:pPr>
              <w:jc w:val="right"/>
              <w:ind w:right="768"/>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4"/>
              </w:rPr>
              <w:t>13,077</w:t>
            </w:r>
          </w:p>
        </w:tc>
        <w:tc>
          <w:tcPr>
            <w:tcW w:w="104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13,178</w:t>
            </w:r>
          </w:p>
        </w:tc>
        <w:tc>
          <w:tcPr>
            <w:tcW w:w="1300" w:type="dxa"/>
            <w:vAlign w:val="bottom"/>
            <w:gridSpan w:val="2"/>
            <w:shd w:val="clear" w:color="auto" w:fill="CFF0FC"/>
          </w:tcPr>
          <w:p>
            <w:pPr>
              <w:jc w:val="right"/>
              <w:ind w:right="88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499"/>
              <w:spacing w:after="0"/>
              <w:rPr>
                <w:sz w:val="20"/>
                <w:szCs w:val="20"/>
                <w:color w:val="auto"/>
              </w:rPr>
            </w:pPr>
            <w:r>
              <w:rPr>
                <w:rFonts w:ascii="Arial" w:cs="Arial" w:eastAsia="Arial" w:hAnsi="Arial"/>
                <w:sz w:val="18"/>
                <w:szCs w:val="18"/>
                <w:color w:val="auto"/>
              </w:rPr>
              <w:t>(101)</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ind w:right="280" w:firstLine="518"/>
        <w:spacing w:after="0" w:line="312" w:lineRule="auto"/>
        <w:rPr>
          <w:sz w:val="20"/>
          <w:szCs w:val="20"/>
          <w:color w:val="auto"/>
        </w:rPr>
      </w:pPr>
      <w:r>
        <w:rPr>
          <w:rFonts w:ascii="Arial" w:cs="Arial" w:eastAsia="Arial" w:hAnsi="Arial"/>
          <w:sz w:val="16"/>
          <w:szCs w:val="16"/>
          <w:color w:val="auto"/>
        </w:rPr>
        <w:t>Selling, general and administrative expense decreased for the three months ended April 30, 2019, as compared to the same period in the prior fiscal year, primarily due to approximately $0.7 million less expenditures on outside professional services. The decrease was partially offset by an increase in employee benefit expense of approximately $0.5 million as a result of our annual cash bonus and evergreen stock programs for existing employees.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2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9"/>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2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40" w:type="dxa"/>
            <w:vAlign w:val="bottom"/>
            <w:gridSpan w:val="3"/>
          </w:tcPr>
          <w:p>
            <w:pPr>
              <w:jc w:val="right"/>
              <w:ind w:right="408"/>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30"/>
        </w:trPr>
        <w:tc>
          <w:tcPr>
            <w:tcW w:w="23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04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2,196</w:t>
            </w:r>
          </w:p>
        </w:tc>
        <w:tc>
          <w:tcPr>
            <w:tcW w:w="104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126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w w:val="93"/>
              </w:rPr>
              <w:t>1,404</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177%</w:t>
            </w:r>
          </w:p>
        </w:tc>
      </w:tr>
    </w:tbl>
    <w:p>
      <w:pPr>
        <w:spacing w:after="0" w:line="202" w:lineRule="exact"/>
        <w:rPr>
          <w:sz w:val="20"/>
          <w:szCs w:val="20"/>
          <w:color w:val="auto"/>
        </w:rPr>
      </w:pPr>
    </w:p>
    <w:p>
      <w:pPr>
        <w:ind w:right="300" w:firstLine="518"/>
        <w:spacing w:after="0" w:line="279" w:lineRule="auto"/>
        <w:rPr>
          <w:sz w:val="20"/>
          <w:szCs w:val="20"/>
          <w:color w:val="auto"/>
        </w:rPr>
      </w:pPr>
      <w:r>
        <w:rPr>
          <w:rFonts w:ascii="Arial" w:cs="Arial" w:eastAsia="Arial" w:hAnsi="Arial"/>
          <w:sz w:val="17"/>
          <w:szCs w:val="17"/>
          <w:color w:val="auto"/>
        </w:rPr>
        <w:t>The increase in other income, net, for the three months ended April 30, 2019, as compared to the same period in the prior fiscal year, was primarily due to an aggregate increase of approximately $1.2 million in interest and other income from our deposits and debt security investments. The increase was primarily the result of larger invested balances, interest rate increases and debt securities purchased at discounts. The increase was also attributable to an approximately $0.3 million subsidy granted from a foreign government related to research and development activities.</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20" w:type="dxa"/>
            <w:vAlign w:val="bottom"/>
            <w:tcBorders>
              <w:bottom w:val="single" w:sz="8" w:color="auto"/>
            </w:tcBorders>
            <w:gridSpan w:val="3"/>
          </w:tcPr>
          <w:p>
            <w:pPr>
              <w:jc w:val="center"/>
              <w:ind w:left="388"/>
              <w:spacing w:after="0"/>
              <w:rPr>
                <w:sz w:val="20"/>
                <w:szCs w:val="20"/>
                <w:color w:val="auto"/>
              </w:rPr>
            </w:pPr>
            <w:r>
              <w:rPr>
                <w:rFonts w:ascii="Arial" w:cs="Arial" w:eastAsia="Arial" w:hAnsi="Arial"/>
                <w:sz w:val="14"/>
                <w:szCs w:val="14"/>
                <w:b w:val="1"/>
                <w:bCs w:val="1"/>
                <w:color w:val="auto"/>
                <w:w w:val="95"/>
              </w:rPr>
              <w:t>Three Months Ended April 30,</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tcPr>
          <w:p>
            <w:pPr>
              <w:jc w:val="right"/>
              <w:ind w:right="1459"/>
              <w:spacing w:after="0"/>
              <w:rPr>
                <w:sz w:val="20"/>
                <w:szCs w:val="20"/>
                <w:color w:val="auto"/>
              </w:rPr>
            </w:pPr>
            <w:r>
              <w:rPr>
                <w:rFonts w:ascii="Arial" w:cs="Arial" w:eastAsia="Arial" w:hAnsi="Arial"/>
                <w:sz w:val="14"/>
                <w:szCs w:val="14"/>
                <w:b w:val="1"/>
                <w:bCs w:val="1"/>
                <w:color w:val="auto"/>
              </w:rPr>
              <w:t>Change</w:t>
            </w:r>
          </w:p>
        </w:tc>
      </w:tr>
      <w:tr>
        <w:trPr>
          <w:trHeight w:val="156"/>
        </w:trPr>
        <w:tc>
          <w:tcPr>
            <w:tcW w:w="2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440"/>
              <w:spacing w:after="0" w:line="155"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jc w:val="right"/>
              <w:ind w:right="759"/>
              <w:spacing w:after="0" w:line="155" w:lineRule="exact"/>
              <w:rPr>
                <w:sz w:val="20"/>
                <w:szCs w:val="20"/>
                <w:color w:val="auto"/>
              </w:rPr>
            </w:pPr>
            <w:r>
              <w:rPr>
                <w:rFonts w:ascii="Arial" w:cs="Arial" w:eastAsia="Arial" w:hAnsi="Arial"/>
                <w:sz w:val="14"/>
                <w:szCs w:val="14"/>
                <w:b w:val="1"/>
                <w:bCs w:val="1"/>
                <w:color w:val="auto"/>
              </w:rPr>
              <w:t>%</w:t>
            </w:r>
          </w:p>
        </w:tc>
      </w:tr>
      <w:tr>
        <w:trPr>
          <w:trHeight w:val="156"/>
        </w:trPr>
        <w:tc>
          <w:tcPr>
            <w:tcW w:w="2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60" w:type="dxa"/>
            <w:vAlign w:val="bottom"/>
            <w:gridSpan w:val="3"/>
          </w:tcPr>
          <w:p>
            <w:pPr>
              <w:jc w:val="center"/>
              <w:ind w:right="88"/>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42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30"/>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58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120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1380" w:type="dxa"/>
            <w:vAlign w:val="bottom"/>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0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49%</w:t>
            </w:r>
          </w:p>
        </w:tc>
      </w:tr>
      <w:tr>
        <w:trPr>
          <w:trHeight w:val="250"/>
        </w:trPr>
        <w:tc>
          <w:tcPr>
            <w:tcW w:w="2620" w:type="dxa"/>
            <w:vAlign w:val="bottom"/>
          </w:tcPr>
          <w:p>
            <w:pPr>
              <w:spacing w:after="0"/>
              <w:rPr>
                <w:sz w:val="20"/>
                <w:szCs w:val="20"/>
                <w:color w:val="auto"/>
              </w:rPr>
            </w:pPr>
            <w:r>
              <w:rPr>
                <w:rFonts w:ascii="Arial" w:cs="Arial" w:eastAsia="Arial" w:hAnsi="Arial"/>
                <w:sz w:val="18"/>
                <w:szCs w:val="18"/>
                <w:color w:val="auto"/>
              </w:rPr>
              <w:t>Effective tax rate</w:t>
            </w: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c>
          <w:tcPr>
            <w:tcW w:w="1200" w:type="dxa"/>
            <w:vAlign w:val="bottom"/>
          </w:tcPr>
          <w:p>
            <w:pPr>
              <w:jc w:val="right"/>
              <w:ind w:right="896"/>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39"/>
              <w:spacing w:after="0"/>
              <w:rPr>
                <w:sz w:val="20"/>
                <w:szCs w:val="20"/>
                <w:color w:val="auto"/>
              </w:rPr>
            </w:pPr>
            <w:r>
              <w:rPr>
                <w:rFonts w:ascii="Arial" w:cs="Arial" w:eastAsia="Arial" w:hAnsi="Arial"/>
                <w:sz w:val="18"/>
                <w:szCs w:val="18"/>
                <w:color w:val="auto"/>
              </w:rPr>
              <w:t>1.4</w:t>
            </w:r>
            <w:r>
              <w:rPr>
                <w:rFonts w:ascii="Arial" w:cs="Arial" w:eastAsia="Arial" w:hAnsi="Arial"/>
                <w:sz w:val="19"/>
                <w:szCs w:val="19"/>
                <w:color w:val="auto"/>
              </w:rPr>
              <w:t>%</w:t>
            </w:r>
          </w:p>
        </w:tc>
      </w:tr>
    </w:tbl>
    <w:p>
      <w:pPr>
        <w:spacing w:after="0" w:line="194"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 quarterly income taxes reflect an estimate of the corresponding fiscal year’s annual effective tax rate and include, when applicable, adjustments from discrete tax items arising in that quarter.</w:t>
      </w:r>
    </w:p>
    <w:p>
      <w:pPr>
        <w:spacing w:after="0" w:line="170"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The increase in income tax expense for the three months ended April 30, 2019, as compared to the same period in the prior fiscal year, was primarily due to a decrease in the proportion of profits generated in lower-tax jurisdictions and losses incurred in jurisdictions for which the Company was not able to recognize a related tax benefit, as well as an increase in non-deductible stock-based compensation.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As of April 30, 2019 and January 31, 2019, we had cash, cash equivalents and marketable debt securities of approximately $366.2 million and $358.9 million, respectively. We invest in highly liquid, short-term marketable debt securities and hold these investments as available-for-sale securities. As of April 30, 2019, these securities had a fair value of approximately $206.8 million with insignificant unrealized losses caused by fluctuations in market value.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30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 April 30,</w:t>
            </w:r>
          </w:p>
        </w:tc>
      </w:tr>
      <w:tr>
        <w:trPr>
          <w:trHeight w:val="156"/>
        </w:trPr>
        <w:tc>
          <w:tcPr>
            <w:tcW w:w="49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4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shd w:val="clear" w:color="auto" w:fill="CFF0FC"/>
          </w:tcPr>
          <w:p>
            <w:pPr>
              <w:jc w:val="right"/>
              <w:ind w:right="68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5,332</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3,122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9,710</w:t>
            </w:r>
          </w:p>
        </w:tc>
        <w:tc>
          <w:tcPr>
            <w:tcW w:w="8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8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(19,754)</w:t>
            </w:r>
          </w:p>
        </w:tc>
      </w:tr>
      <w:tr>
        <w:trPr>
          <w:trHeight w:val="209"/>
        </w:trPr>
        <w:tc>
          <w:tcPr>
            <w:tcW w:w="4980" w:type="dxa"/>
            <w:vAlign w:val="bottom"/>
          </w:tcPr>
          <w:p>
            <w:pPr>
              <w:spacing w:after="0"/>
              <w:rPr>
                <w:sz w:val="20"/>
                <w:szCs w:val="20"/>
                <w:color w:val="auto"/>
              </w:rPr>
            </w:pPr>
            <w:r>
              <w:rPr>
                <w:rFonts w:ascii="Arial" w:cs="Arial" w:eastAsia="Arial" w:hAnsi="Arial"/>
                <w:sz w:val="18"/>
                <w:szCs w:val="18"/>
                <w:color w:val="auto"/>
                <w:w w:val="96"/>
              </w:rPr>
              <w:t>Net increase (decrease) in cash, cash equivalents and restricted</w:t>
            </w: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cash</w:t>
            </w:r>
          </w:p>
        </w:tc>
        <w:tc>
          <w:tcPr>
            <w:tcW w:w="840" w:type="dxa"/>
            <w:vAlign w:val="bottom"/>
          </w:tcPr>
          <w:p>
            <w:pPr>
              <w:jc w:val="right"/>
              <w:ind w:right="687"/>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10,397</w:t>
            </w:r>
          </w:p>
        </w:tc>
        <w:tc>
          <w:tcPr>
            <w:tcW w:w="16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(9,980)</w:t>
            </w:r>
          </w:p>
        </w:tc>
      </w:tr>
      <w:tr>
        <w:trPr>
          <w:trHeight w:val="20"/>
        </w:trPr>
        <w:tc>
          <w:tcPr>
            <w:tcW w:w="4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Net cash provided by operating activities increased for the three months ended April 30, 2019, as compared to the same period in the prior fiscal year, primarily due to increased liabilities associated with the timing of payments to suppliers. The increased cash flows were partially offset by an increased net loss adjusted for increased non-cash stock-based compensation expense and decreased cash receipts associated with the timing of payments from customers.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Net cash provided by investing activities decreased for the three months ended April 30, 2019, as compared to the same period in the prior fiscal year, primarily due to approximately $26.6 million of additional investments in debt securities. The decrease was partially offset by an increase of approximately $19.9 million in cash receipts from the sale and maturity of debt securities.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Net cash provided by financing activities increased for the three months ended April 30, 2019, as compared to the same period in the prior fiscal year, primarily due to $20.6 million of cash used for the repurchasing of our ordinary shares under the stock repurchase program during the three months ended April 30, 2018 that was not incurred during the fiscal quarter ended April 30, 2019. The increase was also attributable to approximately $1.3 million of additional cash proceeds from option exercises and employee stock purchase withholding.</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and Capital Expenditure Requirements</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As of April 30, 2019, we had cash, cash equivalents and marketable debt securities of approximately $366.2 million. We believe that our existing cash balances will be sufficient to meet our anticipated cash requirements through at least the next 12 months. In the future, we expect our operating and capital expenditures to increase as we increase headcount, expand our business activities, and implement and enhance our information technology platforms. As we expand our operations, we may require more working capital. If our available cash balances are insufficient to satisfy our future liquidity requirements, we may seek to sell equity or convertible debt securities or borrow funds commercially. The sale of equity and convertible debt securities may result in dilution to our shareholders, and those securities may have rights senior to those of our ordinary shares. If we raise additional funds through the issuance of convertible debt securities, these securities could contain covenants that would restrict our operations. We may require additional capital beyond our currently anticipated amounts. Additional capital may not be available to us on reasonable terms, or at all.</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short-term and long-term capital requirements will depend on many factors, including the following:</w:t>
      </w:r>
    </w:p>
    <w:p>
      <w:pPr>
        <w:spacing w:after="0" w:line="117" w:lineRule="exact"/>
        <w:rPr>
          <w:sz w:val="20"/>
          <w:szCs w:val="20"/>
          <w:color w:val="auto"/>
        </w:rPr>
      </w:pPr>
    </w:p>
    <w:p>
      <w:pPr>
        <w:ind w:left="1540" w:hanging="506"/>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generate cash from operations;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control our costs;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expansion of our research and development of new technologies and products to address new markets and applications;</w:t>
      </w:r>
    </w:p>
    <w:p>
      <w:pPr>
        <w:spacing w:after="0" w:line="128" w:lineRule="exact"/>
        <w:rPr>
          <w:rFonts w:ascii="Arial" w:cs="Arial" w:eastAsia="Arial" w:hAnsi="Arial"/>
          <w:sz w:val="17"/>
          <w:szCs w:val="17"/>
          <w:color w:val="auto"/>
        </w:rPr>
      </w:pPr>
    </w:p>
    <w:p>
      <w:pPr>
        <w:ind w:left="1540" w:hanging="506"/>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technologies or products;</w:t>
      </w:r>
    </w:p>
    <w:p>
      <w:pPr>
        <w:spacing w:after="0" w:line="117" w:lineRule="exact"/>
        <w:rPr>
          <w:rFonts w:ascii="Arial" w:cs="Arial" w:eastAsia="Arial" w:hAnsi="Arial"/>
          <w:sz w:val="18"/>
          <w:szCs w:val="18"/>
          <w:color w:val="auto"/>
        </w:rPr>
      </w:pPr>
    </w:p>
    <w:p>
      <w:pPr>
        <w:ind w:left="1540" w:right="520" w:hanging="506"/>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or participating in litigation-related activities; and</w:t>
      </w:r>
    </w:p>
    <w:p>
      <w:pPr>
        <w:spacing w:after="0" w:line="62" w:lineRule="exact"/>
        <w:rPr>
          <w:rFonts w:ascii="Arial" w:cs="Arial" w:eastAsia="Arial" w:hAnsi="Arial"/>
          <w:sz w:val="18"/>
          <w:szCs w:val="18"/>
          <w:color w:val="auto"/>
        </w:rPr>
      </w:pPr>
    </w:p>
    <w:p>
      <w:pPr>
        <w:ind w:left="1540" w:hanging="506"/>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acquisition of complementary businesses, products and technologies.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Manufacturing Purchase Obligations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April 30, 2019, we had purchase obligations with our independent contract manufacturers of $22.9 million.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252"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Company adopted ASC Topic 842, Leases on February 1, 2019. As a result, the contractual obligations related to future lease payments are reflected on the condensed consolidated balance sheets as lease liabilities as of April 30, 2019. See Note 7, "Leases" in the Notes to Condensed Consolidated Financial Statements for more details about the lease liabilities as of April 30, 2019.</w:t>
      </w:r>
    </w:p>
    <w:p>
      <w:pPr>
        <w:spacing w:after="0" w:line="181" w:lineRule="exact"/>
        <w:rPr>
          <w:sz w:val="20"/>
          <w:szCs w:val="20"/>
          <w:color w:val="auto"/>
        </w:rPr>
      </w:pPr>
    </w:p>
    <w:p>
      <w:pPr>
        <w:jc w:val="both"/>
        <w:ind w:firstLine="380"/>
        <w:spacing w:after="0" w:line="302" w:lineRule="auto"/>
        <w:rPr>
          <w:sz w:val="20"/>
          <w:szCs w:val="20"/>
          <w:color w:val="auto"/>
        </w:rPr>
      </w:pPr>
      <w:r>
        <w:rPr>
          <w:rFonts w:ascii="Arial" w:cs="Arial" w:eastAsia="Arial" w:hAnsi="Arial"/>
          <w:sz w:val="16"/>
          <w:szCs w:val="16"/>
          <w:color w:val="auto"/>
        </w:rPr>
        <w:t>Except as described above with respect to the manufacturing purchase obligations and leases, there were no other material changes in our contractual obligations, commitments and contingencies from those disclosed in our Annual Report on Form 10-K for the fiscal year ended January 31, 2019. Please see Item 7, “Management’s Discussion and Analysis of Financial Condition and Results of Operations – Contractual Obligations, Commitments and Contingencies” in our Annual Report on Form 10-K for the fiscal year ended January 31, 2019 for a description of our contractual obligations.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As of April 30, 2019, we did not engage in any off-balance sheet arrangements, including the use of structured finance, special purpose entities or variable interest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Accounting Guidance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See Note 1 of Notes to Condensed Consolidated Financial Statements for information regarding recently issued accounting pronouncements.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21" w:lineRule="exact"/>
        <w:rPr>
          <w:sz w:val="20"/>
          <w:szCs w:val="20"/>
          <w:color w:val="auto"/>
        </w:rPr>
      </w:pPr>
    </w:p>
    <w:p>
      <w:pPr>
        <w:ind w:right="280" w:firstLine="588"/>
        <w:spacing w:after="0" w:line="286" w:lineRule="auto"/>
        <w:rPr>
          <w:sz w:val="20"/>
          <w:szCs w:val="20"/>
          <w:color w:val="auto"/>
        </w:rPr>
      </w:pPr>
      <w:r>
        <w:rPr>
          <w:rFonts w:ascii="Arial" w:cs="Arial" w:eastAsia="Arial" w:hAnsi="Arial"/>
          <w:sz w:val="17"/>
          <w:szCs w:val="17"/>
          <w:color w:val="auto"/>
        </w:rPr>
        <w:t>There have been no material changes to our critical accounting policies and estimates as compared to the critical accounting policies and estimates described in our Annual Report on Form 10-K for the 2019 fiscal year filed with the SEC on March 29, 2019, except for the recently adopted accounting guidance on leases as discussed in Notes 1 and 7 of Notes to Condensed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140" w:firstLine="518"/>
        <w:spacing w:after="0" w:line="259" w:lineRule="auto"/>
        <w:rPr>
          <w:sz w:val="20"/>
          <w:szCs w:val="20"/>
          <w:color w:val="auto"/>
        </w:rPr>
      </w:pPr>
      <w:r>
        <w:rPr>
          <w:rFonts w:ascii="Arial" w:cs="Arial" w:eastAsia="Arial" w:hAnsi="Arial"/>
          <w:sz w:val="18"/>
          <w:szCs w:val="18"/>
          <w:color w:val="auto"/>
        </w:rPr>
        <w:t>As of April 30, 2019 and January 31, 2019, we had cash, cash equivalents, marketable debt securities and restricted cash totaling $366.2 million and $358.9 million, respectively. Our cash is deposited in checking accounts with reputable financial institutions. The cash equivalents and marketable securities consist primarily of investments in debt securities. Our cash is held for working capital purposes. We do not enter into investments for trading or speculative purposes.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Rate Fluctuation Risk</w:t>
      </w:r>
    </w:p>
    <w:p>
      <w:pPr>
        <w:spacing w:after="0" w:line="117"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of short-term investments in a variety of debt securities with high liquidity. We do not enter into investments for trading or speculative purposes. A 10% change in interest rates will not have a material impact on our future interest income or investment fair value. The risk associated with fluctuating interest rates is limited to our investment portfolio.</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To date, all of our product sales and inventory purchases have been denominated in U.S. dollars. We therefore have not had any foreign currency risk associated with these two activities. The functional currency of all of our entities is the U.S. dollar. Our operations outside of the United States incur operating expenses and hold assets and liabilities denominated in foreign currencies, principally the New Taiwan Dollar and the Chinese Yuan Renminbi. Our results of operations and cash flows are subject to fluctuations due to changes in foreign currency exchange rates, particularly the exchange rates between the Chinese Yuan Renminbi and the U.S. dollar and between the New Taiwan Dollar and the U.S. dollar. As we grow our operations, our exposure to foreign currency risk could become more significant. To date, we have not entered into any foreign currency exchange contracts and currently do not expect to enter into foreign currency exchange contracts for trading or speculative purposes.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of the end of the period covered by this Quarterly Report on Form 10-Q. The term “disclosure controls and procedures” (as defined in Rules 13a- 15(e) and 15d- 15(e))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Based upon such evaluation, our Chief Executive Officer and Chief Financial Officer have concluded that, as of April 30, 2019, our disclosure controls and procedures were effective at the reasonable assurance level.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adopted Accounting Standards Codification (“ASC”) Topic 842, Leases, on February 1, 2019. As a result, we have enhanced our processes and controls to address the new lease standard. Other than that, there were no changes in our internal control over financial reporting during the Company’s fiscal quarter ended April 30, 2019 that have materially affected, or are reasonably likely to materially affect, the Company’s internal control over financial reporting.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of Disclosure Controls and Internal Control over Financial Reporting</w:t>
      </w:r>
    </w:p>
    <w:p>
      <w:pPr>
        <w:spacing w:after="0" w:line="11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engaged in any material legal proceedings at this time.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b w:val="1"/>
          <w:bCs w:val="1"/>
          <w:i w:val="1"/>
          <w:iCs w:val="1"/>
          <w:color w:val="auto"/>
        </w:rPr>
        <w:t>Global economic and political conditions, including possible trade tariffs and trade restrictions, may have an impact on our business and financial condition in ways that we currently cannot predict.</w:t>
      </w:r>
    </w:p>
    <w:p>
      <w:pPr>
        <w:spacing w:after="0" w:line="170"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Recently proposed public policy changes and the imposition of trade tariffs and restrictions between the United States and China have, in our view, created and will continue to create an uncertain business environment. In particular, if additional tariffs or trade restrictions are imposed on our products or the products of our customers, or trade restrictions are imposed on our ability to conduct business with certain customers, there could be a negative impact on our operations and financial performance. For example, H.R. 5515 - John S. McCain National Defense Authorization Act for Fiscal Year 2019, which was recently enacted into law, has negatively impacted and will continue to negatively impact our two largest China IP security customers and likely decreased and will continue to decrease their demand for our solutions. While this new law has and will likely continue to have a negative impact on our revenue in the near term due to uncertainty relating to these customers, we cannot yet predict the longer term impact on our business. In addition, if further restrictions were placed on a significant customer, such as our China IP security customers, affecting our ability to do business with them, it would likely have a material adverse effect on our business and financial condition. Similarly, changes in export classification requirements, such as those proposed by U.S. Congress, could impact our ability to supply our solutions to certain companies or in certain countries. Even in the absence of new restrictions, tariffs or changes in export classifications, it is possible that foreign customers could take actions to reduce dependence on the supply of components, including our solutions, that could be subject to new export classifications, which could have a material adverse effect on our business and financial condition.</w:t>
      </w:r>
    </w:p>
    <w:p>
      <w:pPr>
        <w:spacing w:after="0" w:line="169"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49" w:lineRule="exact"/>
        <w:rPr>
          <w:sz w:val="20"/>
          <w:szCs w:val="20"/>
          <w:color w:val="auto"/>
        </w:rPr>
      </w:pPr>
    </w:p>
    <w:p>
      <w:pPr>
        <w:ind w:right="20" w:firstLine="518"/>
        <w:spacing w:after="0" w:line="238" w:lineRule="auto"/>
        <w:rPr>
          <w:sz w:val="20"/>
          <w:szCs w:val="20"/>
          <w:color w:val="auto"/>
        </w:rPr>
      </w:pPr>
      <w:r>
        <w:rPr>
          <w:rFonts w:ascii="Arial" w:cs="Arial" w:eastAsia="Arial" w:hAnsi="Arial"/>
          <w:sz w:val="17"/>
          <w:szCs w:val="17"/>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refer to ODMs as our customers and OEMs as our end customers, except as otherwise indicated or as the context otherwise requires. Our video and image processing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w:t>
      </w:r>
    </w:p>
    <w:p>
      <w:pPr>
        <w:spacing w:after="0" w:line="178" w:lineRule="exact"/>
        <w:rPr>
          <w:sz w:val="20"/>
          <w:szCs w:val="20"/>
          <w:color w:val="auto"/>
        </w:rPr>
      </w:pPr>
    </w:p>
    <w:p>
      <w:pPr>
        <w:ind w:right="120" w:firstLine="518"/>
        <w:spacing w:after="0"/>
        <w:rPr>
          <w:sz w:val="20"/>
          <w:szCs w:val="20"/>
          <w:color w:val="auto"/>
        </w:rPr>
      </w:pPr>
      <w:r>
        <w:rPr>
          <w:rFonts w:ascii="Arial" w:cs="Arial" w:eastAsia="Arial" w:hAnsi="Arial"/>
          <w:sz w:val="17"/>
          <w:szCs w:val="17"/>
          <w:color w:val="auto"/>
        </w:rPr>
        <w:t>Even if an OEM designs one of our SoC solutions into its product, we cannot be assured that the OEM’s product will be commercially successful over time or at all. For example, in the past we have secured design wins for camera products that were never commercially released by our customer as a result of factors beyond our control. If other products or other product categories incorporating our SoC solutions are not commercially successful or experience rapid decline, our revenue and business will suffer. For example, we have recently experienced declines in demand for our solutions in professional IP security, automotive and several consumer camera markets, including wearable cameras, virtual reality cameras and cameras incorporated into unmanned aerial vehicles, also referred to as UAVs or drones, which has negatively impacted our business.</w:t>
      </w:r>
    </w:p>
    <w:p>
      <w:pPr>
        <w:spacing w:after="0" w:line="178" w:lineRule="exact"/>
        <w:rPr>
          <w:sz w:val="20"/>
          <w:szCs w:val="20"/>
          <w:color w:val="auto"/>
        </w:rPr>
      </w:pPr>
    </w:p>
    <w:p>
      <w:pPr>
        <w:ind w:right="40" w:firstLine="518"/>
        <w:spacing w:after="0" w:line="231" w:lineRule="auto"/>
        <w:rPr>
          <w:sz w:val="20"/>
          <w:szCs w:val="20"/>
          <w:color w:val="auto"/>
        </w:rPr>
      </w:pPr>
      <w:r>
        <w:rPr>
          <w:rFonts w:ascii="Arial" w:cs="Arial" w:eastAsia="Arial" w:hAnsi="Arial"/>
          <w:sz w:val="18"/>
          <w:szCs w:val="18"/>
          <w:color w:val="auto"/>
        </w:rPr>
        <w:t>Similarly, even if an OEM designs one of our SoC solutions into its product, we are not assured that we will receive or continue to receive new design wins from that OEM. For example, two of our largest OEMs in the consumer camera markets in the past few years, GoPro, Inc., or GoPro, and Dajiang Innovation Technology Inc., or DJI, have begun using competing solutions in their mainstream products, which has significantly reduced these OEMs’demand for our solutions and negatively impacted our revenue.</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b w:val="1"/>
          <w:bCs w:val="1"/>
          <w:i w:val="1"/>
          <w:iCs w:val="1"/>
          <w:color w:val="auto"/>
        </w:rPr>
        <w:t>If we fail to penetrate new markets, our revenue and financial condition could be harmed.</w:t>
      </w:r>
    </w:p>
    <w:p>
      <w:pPr>
        <w:spacing w:after="0" w:line="117"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In the past several years, a substantial portion of our revenue was generated from sales of our products to OEMs and ODMs of HD video cameras, including IP security cameras, wearable cameras and UAVs. Our revenue from several of these markets, however, has recently experienced significant declines. As a result, we believe that our future revenue growth, if any, will significantly depend on our ability to expand within the camera markets with our video and image processing SoC solutions, particularly in the professional IP security and home security and monitoring camera markets, as well as emerging markets such as the OEM automotive and robotics markets. Each of these markets presents distinct and substantial risks and, in many cases, requires us to develop new functionality or software to address the particular requirements of that market. For example, we expect that computer vision functionality will become an increasingly important requirement in many of our current and future markets, including the automotive, IP security camera and robotics markets. As a result, we believe that our ability to develop advanced computer vision technology and gain customer acceptance of our technology is critical to our future success and our efforts to develop such technology that gains market acceptance may not be successful. Development of products to address new markets, such as the OEM automotive and robotics markets, could negatively impact our ability to develop new products for our current markets, which may harm our financial condition, particularly in the near term. In addition, we anticipate that as we continue to move into new markets, such as the OEM automotive and robotics markets, we will likely face competition from larger competitors with greater resources and more history in these markets. If any of these markets do not develop as we currently anticipate or if we are unable to penetrate them successfully with our solutions, our revenue could decline, and our financial condition will be negatively impacted.</w:t>
      </w:r>
    </w:p>
    <w:p>
      <w:pPr>
        <w:spacing w:after="0" w:line="185"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will require a substantial investment of our time and resources. We cannot assure that we will secure design wins from these or other companies or that we will achieve meaningful revenue from the sales of our solutions into these markets. If we fail to penetrate these or other new markets we are targeting, our financial condition would likely suffer.</w:t>
      </w:r>
    </w:p>
    <w:p>
      <w:pPr>
        <w:spacing w:after="0" w:line="188"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17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the past few years, a substantial portion of our revenue has been derived from sales of our SoCs to the camera market and in particular, the IP security camera market, automotive camera market, wearable camera market and UAV market. While we will continue to provide solutions addressing these markets, we are focusing our development resources on addressing computer vision applications, primarily in the professional IP security and home security and monitoring camera markets, the OEM automotive and robotics markets, with our computer vision solutions. The application of computer vision functionality in these markets is relatively new, and we may be unable to predict the timing or development of these markets with accuracy. For example, a slower than expected adoption rate for computer vision technology in the IP security camera market could slow the demand for our new solutions. Similarly, a slower than anticipated adoption of electronic mirrors, advanced driving assistance systems and autonomous driving functionality could reduce demand for our new computer vision solutions. If our key target markets, such as automotive cameras, IP security cameras and cameras for robotic applications, do not grow or develop in ways that we currently expect, demand for our video and image processing SoCs may not materialize as expected, and our business and operating results could suffer.</w:t>
      </w:r>
    </w:p>
    <w:p>
      <w:pPr>
        <w:spacing w:after="0" w:line="178"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62"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Our customers typically do not provide us with firm, long-term purchase commitments. Substantially all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w:t>
      </w:r>
    </w:p>
    <w:p>
      <w:pPr>
        <w:spacing w:after="0" w:line="171"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miscalculations by our customers of their inventory requirements, changes in market conditions, adverse changes in our product order mix and fluctuating demand for our customers’ products. For example, higher than normal customer inventory levels at GoPro significantly impacted our revenue in the first half of fiscal years 2017 and 2018. Higher than normal customer inventory levels can occur in the future.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right="20" w:firstLine="518"/>
        <w:spacing w:after="0" w:line="254" w:lineRule="auto"/>
        <w:rPr>
          <w:sz w:val="20"/>
          <w:szCs w:val="20"/>
          <w:color w:val="auto"/>
        </w:rPr>
      </w:pPr>
      <w:r>
        <w:rPr>
          <w:rFonts w:ascii="Arial" w:cs="Arial" w:eastAsia="Arial" w:hAnsi="Arial"/>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We have in the past had customers significantly increase their requested production quantities with little or no advance notice. If we do not fulfill customer demands in a timely manner, our customers may cancel their orders and we may be subject to customer claims for cost of replacement.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 In addition, any significant future cancellations or deferrals of product orders could harm our margins, increase our write-offs due to product obsolescence and restrict our ability to fund our operations.</w:t>
      </w:r>
    </w:p>
    <w:p>
      <w:pPr>
        <w:spacing w:after="0" w:line="192"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62"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2019, the customers representing 10% or more of our revenue were Wintech Microelectronics Co., Ltd., or Wintech, the Company’s distributor, and Chicony Electronics Co., Ltd., or Chicony, a direct ODM customer, which accounted for approximately 58% and 16% of total revenue, respectively. For the three months ended April 30, 2019, the customers representing 10% or more of revenue were Wintech and Chicony which accounted for approximately 59% and 18% of total revenue, respectively. We believe that our operating results for the foreseeable future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In the past, we have had significant customers decrease their demand for our solutions with little advance notice to us. For example, GoPro, our largest OEM customer in fiscal year 2017, has recently used a competing solution in its mainstream cameras, which had a significantly negative impact on our revenue. Similarly, our customer DJI recently introduced UAVs incorporating competing solutions that have reduced, and will continue to reduce, DJI’s demand for our solutions.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 through sales to other customers in that market.</w:t>
      </w:r>
    </w:p>
    <w:p>
      <w:pPr>
        <w:spacing w:after="0" w:line="18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addition, our relationships with some customers may deter other potential customers who compete with these customers from buying our solutions. To attract new customers or retain existing customers, we may have to offer these customers favorable prices on our solutions. In that event, our average selling prices and gross margins would decline. The loss of a key customer, a reduction in sales to any key customer or our inability to attract new customers could seriously impact our revenue and harm our results of operations.</w:t>
      </w:r>
    </w:p>
    <w:p>
      <w:pPr>
        <w:spacing w:after="0" w:line="18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62"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Availability of foundry capacity has in the recent past been limited due to strong demand.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 or 7 nanometer, or 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ind w:right="20" w:firstLine="518"/>
        <w:spacing w:after="0" w:line="273" w:lineRule="auto"/>
        <w:rPr>
          <w:sz w:val="20"/>
          <w:szCs w:val="20"/>
          <w:color w:val="auto"/>
        </w:rPr>
      </w:pPr>
      <w:r>
        <w:rPr>
          <w:rFonts w:ascii="Arial" w:cs="Arial" w:eastAsia="Arial" w:hAnsi="Arial"/>
          <w:sz w:val="17"/>
          <w:szCs w:val="17"/>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Moreover, if we are able to secure foundry capacity, we may be obligated to use all of that capacity or incur penalties. These penalties could harm our financial results.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17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b w:val="1"/>
          <w:bCs w:val="1"/>
          <w:i w:val="1"/>
          <w:iCs w:val="1"/>
          <w:color w:val="auto"/>
        </w:rPr>
        <w:t>If we fail to develop and introduce new or enhanced solutions on a timely basis, our ability to attract and retain customers could be impaired and our competitive position could be harmed.</w:t>
      </w:r>
    </w:p>
    <w:p>
      <w:pPr>
        <w:spacing w:after="0" w:line="62"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We operate in a dynamic environment characterized by rapidly changing technologies and technological obsolescence. To compete successfully, we must design, develop, market and sell enhanced solutions that provide increasingly higher levels of performance and functionality and that meet the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for video compression; or the requirement of additional functionality included in video processors, such as analytics or computer vision functionality. In addition, the markets for our solutions are characterized by frequent introduction of next-generation and new products, short product life cycles, increasing demand for added functionality and significant price competition. If we or our customers are unable to manage product transitions in a timely and cost-effective manner, our business and results of operations would suffer.</w:t>
      </w:r>
    </w:p>
    <w:p>
      <w:pPr>
        <w:spacing w:after="0" w:line="17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expect that we will need to establish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Moreover, it is possible that our customers may develop their own product or adopt a competitor’s solution for products that they currently buy from us. If we fail to introduce new or enhanced solutions that meet the needs of our customers or penetrate new markets in a timely fashion, we will lose market share, and our operating results will be adversely affected.</w:t>
      </w:r>
    </w:p>
    <w:p>
      <w:pPr>
        <w:spacing w:after="0" w:line="182" w:lineRule="exact"/>
        <w:rPr>
          <w:sz w:val="20"/>
          <w:szCs w:val="20"/>
          <w:color w:val="auto"/>
        </w:rPr>
      </w:pPr>
    </w:p>
    <w:p>
      <w:pPr>
        <w:ind w:right="260" w:firstLine="518"/>
        <w:spacing w:after="0" w:line="308" w:lineRule="auto"/>
        <w:rPr>
          <w:sz w:val="20"/>
          <w:szCs w:val="20"/>
          <w:color w:val="auto"/>
        </w:rPr>
      </w:pPr>
      <w:r>
        <w:rPr>
          <w:rFonts w:ascii="Arial" w:cs="Arial" w:eastAsia="Arial" w:hAnsi="Arial"/>
          <w:sz w:val="17"/>
          <w:szCs w:val="17"/>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38"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are focused on selling our video and image processing solutions to ODMs and OEMs for incorporation into their products at the design stage. These efforts to achieve design wins typically are lengthy, especially in emerging markets we intend to address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For example, in the past we had achieved certain design wins and projected substantial future revenue as a result of such design wins. Subsequently, based on factors outside of our control, the applicable end customers abruptly cancelled the projects, with no notice to us, resulting in a loss of projected revenue. In addition, even if an OEM designs one of our SoC solutions into one of its products, we cannot be assured that we will secure new design wins from that OEM for future products. For example, GoPro and DJI have used competing solutions in recently introduced camera products, which has had a significant negative impact on our revenue.</w:t>
      </w:r>
    </w:p>
    <w:p>
      <w:pPr>
        <w:spacing w:after="0" w:line="182" w:lineRule="exact"/>
        <w:rPr>
          <w:sz w:val="20"/>
          <w:szCs w:val="20"/>
          <w:color w:val="auto"/>
        </w:rPr>
      </w:pPr>
    </w:p>
    <w:p>
      <w:pPr>
        <w:jc w:val="both"/>
        <w:ind w:right="100" w:firstLine="518"/>
        <w:spacing w:after="0" w:line="286" w:lineRule="auto"/>
        <w:rPr>
          <w:sz w:val="20"/>
          <w:szCs w:val="20"/>
          <w:color w:val="auto"/>
        </w:rPr>
      </w:pPr>
      <w:r>
        <w:rPr>
          <w:rFonts w:ascii="Arial" w:cs="Arial" w:eastAsia="Arial" w:hAnsi="Arial"/>
          <w:sz w:val="17"/>
          <w:szCs w:val="17"/>
          <w:color w:val="auto"/>
        </w:rPr>
        <w:t>These risks are exacerbated by the fact that some of our end customers’ products, particularly in the camera market, likely will have short life cycles.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166"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Our customers generally take a considerable amount of time to evaluate our solutions. The typical time from early engagement by our sales force to actual product introduction runs from nine to 12 months, though it will likely take significantly longer in new markets such as the OEM automotive and robotics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Finally, our customers’ failure to successfully market and sell their products could reduce demand for our SoC solutions and harm our business, financial condition and results of operations. If we were unable to generate revenue after incurring substantial expenses to develop any of our solutions, our business would suffer.</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37" w:name="page38"/>
    <w:bookmarkEnd w:id="37"/>
    <w:p>
      <w:pPr>
        <w:ind w:left="520"/>
        <w:spacing w:after="0"/>
        <w:rPr>
          <w:sz w:val="20"/>
          <w:szCs w:val="20"/>
          <w:color w:val="auto"/>
        </w:rPr>
      </w:pPr>
      <w:r>
        <w:rPr>
          <w:rFonts w:ascii="Arial" w:cs="Arial" w:eastAsia="Arial" w:hAnsi="Arial"/>
          <w:sz w:val="18"/>
          <w:szCs w:val="18"/>
          <w:b w:val="1"/>
          <w:bCs w:val="1"/>
          <w:i w:val="1"/>
          <w:iCs w:val="1"/>
          <w:color w:val="auto"/>
        </w:rPr>
        <w:t>We expect competition to increase in the future, which could have an adverse effect on our revenue and market share.</w:t>
      </w:r>
    </w:p>
    <w:p>
      <w:pPr>
        <w:spacing w:after="0" w:line="117"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The global semiconductor market in general, and the video and image processing markets in particular, are highly competitive. We compete in different target markets to various degrees on the basis of a number of competitive factors, including our solutions’ performance, features, functionality,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as we move into new markets, such as the OEM automotive and robotics markets, we will face competition from larger competitors with longer histories in these markets. Increased competition could result in price pressure, reduced profitability and loss of market share, any of which could harm our business, revenue and operating results.</w:t>
      </w:r>
    </w:p>
    <w:p>
      <w:pPr>
        <w:spacing w:after="0" w:line="197"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Our competitors range from large, international companies offering a wide range of semiconductor products to smaller companies specializing in narrow markets. In the IP security camera market, our primary competitors include AMLogic Inc., Fullhan Microelectronics Co., Ltd., Geo Semiconductor, Inc., HiSilicon Technologies Co., Ltd., or HiSilicon, which is owned by Huawei Technologies Co., Ingenic Semiconductor Co., Ltd., Intel Corporation, or Intel, Movidius Ltd., a subsidiary of Intel, Novatek Microelectronics Corp., or Novatek, OmniVision Technologies, Inc., or OmniVision, Qualcomm Incorporated, or Qualcomm, Realtek Semiconductor Corp., SigmaStar Technology Corp., or SigmaStar, Socionext Inc., or Socionext, an entity created from the merger of the system LSI businesses of Fujitsu Ltd. and Panasonic Corporation, or Panasonic, and Texas Instruments Incorporated, or Texas Instruments, as well as vertically integrated divisions of IP Security camera device OEMs, including Axis Communications AB and Sony Corporation, or Sony. In the automotive camera market, we currently compete against Allwinner Technology Co., Ltd., Alpha Imaging Technology Corp., Core Logic, Inc., Novatek, NXP Semiconductors N.V., OmniVision, Qualcomm, Renesas Electronics Corporation, SigmaStar, Sunplus Technology Co. Ltd., Texas Instruments and Xilinx Inc. In the wearable sports camera market, our primary competitors are vertically integrated divisions of camera device OEMs, including Sony, Panasonic, HiSilicon and Socionext. Our primary competitors in the UAV camera market include HiSilicon, Intel, NVIDIA Corporation and Qualcomm.</w:t>
      </w:r>
    </w:p>
    <w:p>
      <w:pPr>
        <w:spacing w:after="0" w:line="173" w:lineRule="exact"/>
        <w:rPr>
          <w:sz w:val="20"/>
          <w:szCs w:val="20"/>
          <w:color w:val="auto"/>
        </w:rPr>
      </w:pPr>
    </w:p>
    <w:p>
      <w:pPr>
        <w:ind w:right="360" w:firstLine="518"/>
        <w:spacing w:after="0" w:line="259" w:lineRule="auto"/>
        <w:rPr>
          <w:sz w:val="20"/>
          <w:szCs w:val="20"/>
          <w:color w:val="auto"/>
        </w:rPr>
      </w:pPr>
      <w:r>
        <w:rPr>
          <w:rFonts w:ascii="Arial" w:cs="Arial" w:eastAsia="Arial" w:hAnsi="Arial"/>
          <w:sz w:val="18"/>
          <w:szCs w:val="18"/>
          <w:color w:val="auto"/>
        </w:rPr>
        <w:t>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8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ability to compete successfully depends on elements both within and outside of our control, including industry and general economic trends.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80" w:lineRule="exact"/>
        <w:rPr>
          <w:sz w:val="20"/>
          <w:szCs w:val="20"/>
          <w:color w:val="auto"/>
        </w:rPr>
      </w:pPr>
    </w:p>
    <w:p>
      <w:pPr>
        <w:ind w:left="1540" w:hanging="506"/>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anticipate market and technology trends and successfully develop solutions that meet market needs;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success in identifying and penetrating new markets, applications and customers;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understand the price points and performance metrics of competing products in the marketplace;</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that of competing products;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gain access to leading design tools and product specifications at the same time as our competitors;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key OEMs and ODMs;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products’ effective implementation of video processing standards;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expand international operations in a timely and cost-efficient manner;</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support our customers’ incorporation of our solutions into their products; and</w:t>
      </w:r>
    </w:p>
    <w:p>
      <w:pPr>
        <w:spacing w:after="0" w:line="117" w:lineRule="exact"/>
        <w:rPr>
          <w:rFonts w:ascii="Arial" w:cs="Arial" w:eastAsia="Arial" w:hAnsi="Arial"/>
          <w:sz w:val="18"/>
          <w:szCs w:val="18"/>
          <w:color w:val="auto"/>
        </w:rPr>
      </w:pPr>
    </w:p>
    <w:p>
      <w:pPr>
        <w:ind w:left="1540" w:right="300" w:hanging="506"/>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recruit design and application engineers with expertise in image video and image processing technologies and sales and marketing personnel.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ind w:right="520" w:firstLine="518"/>
        <w:spacing w:after="0" w:line="286" w:lineRule="auto"/>
        <w:rPr>
          <w:sz w:val="20"/>
          <w:szCs w:val="20"/>
          <w:color w:val="auto"/>
        </w:rPr>
      </w:pPr>
      <w:r>
        <w:rPr>
          <w:rFonts w:ascii="Arial" w:cs="Arial" w:eastAsia="Arial" w:hAnsi="Arial"/>
          <w:sz w:val="17"/>
          <w:szCs w:val="17"/>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Fluctuations in our operating results on a quarterly and annual basis could cause the market price of our ordinary shares to decline.</w:t>
      </w:r>
    </w:p>
    <w:p>
      <w:pPr>
        <w:spacing w:after="0" w:line="12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Our revenue and operating results have fluctuated significantly from period to period in the past and are likely to do so in the future. In particular, our business has tended to be seasonal with higher revenue in our third quarter as our customers typically increase their production to meet holiday shopping season or year-end demand for their products. We also may experience seasonally lower demand in our first quarter in the Asia-based portion of the IP security camera market as a result of industry seasonality and the impact of ODM and OEM factory closures associated with the Chinese New Year holiday. As a result, you should not rely on period-to-period comparisons of our operating results as an indication of our future performance. In future periods, our revenue and results of operations may be below the expectations of analysts and investors, which could cause the market price of our ordinary shares to decline.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affect our operating results include:</w:t>
      </w:r>
    </w:p>
    <w:p>
      <w:pPr>
        <w:spacing w:after="0" w:line="117" w:lineRule="exact"/>
        <w:rPr>
          <w:sz w:val="20"/>
          <w:szCs w:val="20"/>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demand, sales cycles, product mix, and prices for our products;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forecasting, scheduling, rescheduling or cancellation of orders by our customers;</w:t>
      </w:r>
    </w:p>
    <w:p>
      <w:pPr>
        <w:spacing w:after="0" w:line="117" w:lineRule="exact"/>
        <w:rPr>
          <w:rFonts w:ascii="Arial" w:cs="Arial" w:eastAsia="Arial" w:hAnsi="Arial"/>
          <w:sz w:val="18"/>
          <w:szCs w:val="18"/>
          <w:color w:val="auto"/>
        </w:rPr>
      </w:pPr>
    </w:p>
    <w:p>
      <w:pPr>
        <w:ind w:left="1540" w:hanging="506"/>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shifts in consumer or manufacturer preferences and any resultant change in demand for video and image capture devices into which our solutions are incorporated;</w:t>
      </w:r>
    </w:p>
    <w:p>
      <w:pPr>
        <w:spacing w:after="0" w:line="62" w:lineRule="exact"/>
        <w:rPr>
          <w:rFonts w:ascii="Arial" w:cs="Arial" w:eastAsia="Arial" w:hAnsi="Arial"/>
          <w:sz w:val="18"/>
          <w:szCs w:val="18"/>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 including new entrants or pricing pressures;</w:t>
      </w:r>
    </w:p>
    <w:p>
      <w:pPr>
        <w:spacing w:after="0" w:line="117" w:lineRule="exact"/>
        <w:rPr>
          <w:rFonts w:ascii="Arial" w:cs="Arial" w:eastAsia="Arial" w:hAnsi="Arial"/>
          <w:sz w:val="18"/>
          <w:szCs w:val="18"/>
          <w:color w:val="auto"/>
        </w:rPr>
      </w:pPr>
    </w:p>
    <w:p>
      <w:pPr>
        <w:ind w:left="1540" w:right="80" w:hanging="506"/>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our customers’ ability to manufacture and ship products that incorporate our solutions caused by internal and external factors beyond our control;</w:t>
      </w:r>
    </w:p>
    <w:p>
      <w:pPr>
        <w:spacing w:after="0" w:line="62" w:lineRule="exact"/>
        <w:rPr>
          <w:rFonts w:ascii="Arial" w:cs="Arial" w:eastAsia="Arial" w:hAnsi="Arial"/>
          <w:sz w:val="18"/>
          <w:szCs w:val="18"/>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define, design and release new solutions in a timely manner that meet our customers’ needs;</w:t>
      </w:r>
    </w:p>
    <w:p>
      <w:pPr>
        <w:spacing w:after="0" w:line="117" w:lineRule="exact"/>
        <w:rPr>
          <w:rFonts w:ascii="Arial" w:cs="Arial" w:eastAsia="Arial" w:hAnsi="Arial"/>
          <w:sz w:val="18"/>
          <w:szCs w:val="18"/>
          <w:color w:val="auto"/>
        </w:rPr>
      </w:pPr>
    </w:p>
    <w:p>
      <w:pPr>
        <w:ind w:left="1540" w:right="280" w:hanging="506"/>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manufacturing costs, including wafer, test and assembly costs, mask costs, manufacturing yields and product quality and reliability;</w:t>
      </w:r>
    </w:p>
    <w:p>
      <w:pPr>
        <w:spacing w:after="0" w:line="62" w:lineRule="exact"/>
        <w:rPr>
          <w:rFonts w:ascii="Arial" w:cs="Arial" w:eastAsia="Arial" w:hAnsi="Arial"/>
          <w:sz w:val="18"/>
          <w:szCs w:val="18"/>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availability of adequate manufacturing capacity from our manufacturing subcontractors;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product announcements by our competitors or by us;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incurrence of research and development and related new products expenditures;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write-downs of inventory for excess quantities and technological obsolescence;</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accounting pronouncements and changes in accounting policies;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volatility in our share price, which may lead to higher stock-based compensation expense;</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volatility in our effective tax rate;</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 socioeconomic and political conditions in the countries where we operate or where our products are sold or used; and</w:t>
      </w:r>
    </w:p>
    <w:p>
      <w:pPr>
        <w:spacing w:after="0" w:line="128" w:lineRule="exact"/>
        <w:rPr>
          <w:rFonts w:ascii="Arial" w:cs="Arial" w:eastAsia="Arial" w:hAnsi="Arial"/>
          <w:sz w:val="17"/>
          <w:szCs w:val="17"/>
          <w:color w:val="auto"/>
        </w:rPr>
      </w:pPr>
    </w:p>
    <w:p>
      <w:pPr>
        <w:ind w:left="1540" w:hanging="506"/>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litigation, especially related to intellectual property.</w:t>
      </w:r>
    </w:p>
    <w:p>
      <w:pPr>
        <w:spacing w:after="0" w:line="225"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Moreover, the semiconductor industry has historically been cyclical in nature, reflecting overall economic conditions as well as budgeting and buying patterns of consumers.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impacts on our business, including declines in margins and profitability, or incur losses. For example, our revenue declined 23% in fiscal year 2019 compared to fiscal year 2018, and we incurred our first annual net losses since our initial public offering, or IPO, in 2012. For the three months ended April 30, 2019, our revenue declined 17% compared to the same period in fiscal year 2019, and we incurred net loss of $17.3 million. We may experience similar declines in the future, which would harm our operating results.</w:t>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39" w:name="page40"/>
    <w:bookmarkEnd w:id="39"/>
    <w:p>
      <w:pPr>
        <w:ind w:right="40" w:firstLine="518"/>
        <w:spacing w:after="0" w:line="277" w:lineRule="auto"/>
        <w:rPr>
          <w:sz w:val="20"/>
          <w:szCs w:val="20"/>
          <w:color w:val="auto"/>
        </w:rPr>
      </w:pPr>
      <w:r>
        <w:rPr>
          <w:rFonts w:ascii="Arial" w:cs="Arial" w:eastAsia="Arial" w:hAnsi="Arial"/>
          <w:sz w:val="18"/>
          <w:szCs w:val="18"/>
          <w:b w:val="1"/>
          <w:bCs w:val="1"/>
          <w:i w:val="1"/>
          <w:iCs w:val="1"/>
          <w:color w:val="auto"/>
        </w:rPr>
        <w:t>The average selling prices of video and image processing solutions in our target markets have historically decreased over time and will likely do so in the future, which could harm our revenue and gross margins.</w:t>
      </w:r>
    </w:p>
    <w:p>
      <w:pPr>
        <w:spacing w:after="0" w:line="170"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Average selling prices of semiconductor products in the markets we serve have historically decreased over time, and we expect such declines to continue to occur for our solutions over time. Our gross margins and financial results will suffer if we are unable to offset reductions in our average selling prices by reducing our costs, developing new or enhanced SoC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 factors. Recently, we have experienced competitive pricing pressures at the low ends of the automotive aftermarket camera market and China-based IP security camera market. We expect that we will have to address pricing pressures again in the future, particularly in markets experiencing consolidation, which could require us to reduce the prices of our SoC solutions and harm our operating results.</w:t>
      </w:r>
    </w:p>
    <w:p>
      <w:pPr>
        <w:spacing w:after="0" w:line="182"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b w:val="1"/>
          <w:bCs w:val="1"/>
          <w:i w:val="1"/>
          <w:iCs w:val="1"/>
          <w:color w:val="auto"/>
        </w:rPr>
        <w:t>We are dependent on sales of a limited number of video and image processing solutions, and a decline in market adoption of these solutions could harm our business.</w:t>
      </w:r>
    </w:p>
    <w:p>
      <w:pPr>
        <w:spacing w:after="0" w:line="170"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currently derive substantially all of our revenue from the sale of our video and image processing SoCs for use in a relatively small number of camera markets and we expect to do so for the next several years. As a result, continued market adoption of our SoC solutions in these camera markets is critical to our future success. If demand for our SoC solutions were to decline, or demand for products incorporating our solutions declines, or does not grow as expected, our revenue would decline and our business would be harmed.</w:t>
      </w:r>
    </w:p>
    <w:p>
      <w:pPr>
        <w:spacing w:after="0" w:line="187"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sell a significant percentage of our solutions through a single distributor, Wintech Microelectronics Co., Ltd., or Wintech, which serves as our non-exclusive sales representative in Asia, other than Japan. Approximately 58%, 59% and 60% of our revenue was derived from sales through Wintech for the fiscal years ended January 31, 2019, 2018 and 2017, respectively, and approximately 59% of our revenue was derived from sales through Wintech for the three months ended April 30, 2019. We anticipate that a significant portion of our revenue will continue to be derived from sales through Wintech in the foreseeable future. Our current agreement with Wintech is effective until September 2019, unless it is terminated earlier by either party for any or no reason with 60 days written notice or by failure of the breaching party to cure a material breach within 30 days following written notice of such material breach by the non-breaching party. Our agreement with Wintech will automatically renew for additional successive 12-month terms unless at least 60 days before the end of the then-current term either party provides written notice to the other party that it elects not to renew the agreement. Termination of the relationship with Wintech, either by us or by Wintech,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Wintech, or any successor or other distributors we do business with, may face issues obtaining credit, which could impair their ability to make timely payments to us.</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We are subject to risks associated with our distributors' product inventories.</w:t>
      </w:r>
    </w:p>
    <w:p>
      <w:pPr>
        <w:spacing w:after="0" w:line="117" w:lineRule="exact"/>
        <w:rPr>
          <w:sz w:val="20"/>
          <w:szCs w:val="20"/>
          <w:color w:val="auto"/>
        </w:rPr>
      </w:pPr>
    </w:p>
    <w:p>
      <w:pPr>
        <w:ind w:right="240" w:firstLine="518"/>
        <w:spacing w:after="0" w:line="273" w:lineRule="auto"/>
        <w:rPr>
          <w:sz w:val="20"/>
          <w:szCs w:val="20"/>
          <w:color w:val="auto"/>
        </w:rPr>
      </w:pPr>
      <w:r>
        <w:rPr>
          <w:rFonts w:ascii="Arial" w:cs="Arial" w:eastAsia="Arial" w:hAnsi="Arial"/>
          <w:sz w:val="17"/>
          <w:szCs w:val="17"/>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Upon the adoption of ASC 606 on February 1, 2018,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ind w:firstLine="518"/>
        <w:spacing w:after="0" w:line="270" w:lineRule="auto"/>
        <w:rPr>
          <w:sz w:val="20"/>
          <w:szCs w:val="20"/>
          <w:color w:val="auto"/>
        </w:rPr>
      </w:pPr>
      <w:r>
        <w:rPr>
          <w:rFonts w:ascii="Arial" w:cs="Arial" w:eastAsia="Arial" w:hAnsi="Arial"/>
          <w:sz w:val="17"/>
          <w:szCs w:val="17"/>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Our reserve estimates associated with products stocked by our distributors are based largely on reports that our distributors provide to us on a weekly or monthly basis. To date, we believe this resale and channel inventory data have been generally accurate. To the extent that these data are inaccurate or not received in a timely manner, we may not be able to make reserve estimates for future periods accurately or at all.</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Deterioration of the financial conditions of our customers could adversely affect our operating results.</w:t>
      </w:r>
    </w:p>
    <w:p>
      <w:pPr>
        <w:spacing w:after="0" w:line="11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Deterioration of the financial condition of our distributors or customers could adversely impact our collection of accounts receivable. We regularly review the collectability and creditworthiness of our distributors and customers to determine an appropriate allowance for doubtful receivables. Based on our review of our distributors and customers, we currently have only immaterial reserves for uncollectible accounts. If our uncollectible accounts, however, were to exceed our current or future allowance for doubtful receivables, our operating results would be negatively impacted.</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loss of any of our key personnel could seriously harm our business.</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rely on highly skilled personnel and, if we are unable to hire, retain or motivate key personnel, we may not be able to grow effectively.</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performance largely depends on the talents and efforts of highly skilled individuals. Our future success depends on our continuing ability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identify, hire, develop, motivate, and retain highly skilled personnel for all areas of our organization. Our industry is characterized by high demand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intense competition for talent. The pool of qualified candidates is limited, particularly in Silicon Valley and parts of Asia for very-large-scale integration,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VLSI, and computer vision engineers, and certain of our competitors and potential competitors with greater resources have directly targeted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employees. In addition, our compensation arrangements, such as our equity award programs, may not always be successful in attracting new employees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retaining and motivating our existing employees. Our continued ability to compete effectively, and to grow our business, depends on our ability to attract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employees and to retain and motivate our existing employees.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do not generate revenue growth, we may not be able to execute our business plan and our operating results could suffer.</w:t>
      </w:r>
    </w:p>
    <w:p>
      <w:pPr>
        <w:spacing w:after="0" w:line="11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You should not rely on our revenue growth, gross margins or operating results for any prior quarterly or annual periods as an indication of our future operating performance. In the past, we experienced significant growth in a short period of time. Our revenue increased from $21.5 million in fiscal year 2008 to $316.4 million in fiscal year 2016. Recently, however, we have not sustained this growth rate. Our revenue decreased to $295.4 million in fiscal year 2018 and to $227.8 million in fiscal year 2019, resulting in the first annual net losses since our IPO in 2012. For the three months ended April 30, 2019, our revenue declined 17% compared to the same period in fiscal year 2019 and we incurred net loss of $17.3 million. We continue to invest in the development of new technology and solutions and expect our research and development expenditures to increase compared to prior periods. Accordingly, if we are unable to generate or maintain adequate revenue growth, our financial results could suffer and our stock price could decline.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41" w:name="page42"/>
    <w:bookmarkEnd w:id="41"/>
    <w:p>
      <w:pPr>
        <w:ind w:left="520"/>
        <w:spacing w:after="0"/>
        <w:rPr>
          <w:sz w:val="20"/>
          <w:szCs w:val="20"/>
          <w:color w:val="auto"/>
        </w:rPr>
      </w:pPr>
      <w:r>
        <w:rPr>
          <w:rFonts w:ascii="Arial" w:cs="Arial" w:eastAsia="Arial" w:hAnsi="Arial"/>
          <w:sz w:val="17"/>
          <w:szCs w:val="17"/>
          <w:b w:val="1"/>
          <w:bCs w:val="1"/>
          <w:i w:val="1"/>
          <w:iCs w:val="1"/>
          <w:color w:val="auto"/>
        </w:rPr>
        <w:t>If we are unable to manage any future growth, we may not be able to execute our business plan and our operating results could suffer.</w:t>
      </w:r>
    </w:p>
    <w:p>
      <w:pPr>
        <w:spacing w:after="0" w:line="129"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our growth successfully and handle the responsibilities of being a public company, we believe we must effectively, among other things:</w:t>
      </w:r>
    </w:p>
    <w:p>
      <w:pPr>
        <w:spacing w:after="0" w:line="80" w:lineRule="exact"/>
        <w:rPr>
          <w:sz w:val="20"/>
          <w:szCs w:val="20"/>
          <w:color w:val="auto"/>
        </w:rPr>
      </w:pPr>
    </w:p>
    <w:p>
      <w:pPr>
        <w:ind w:left="1540" w:right="120" w:hanging="506"/>
        <w:spacing w:after="0" w:line="342" w:lineRule="auto"/>
        <w:tabs>
          <w:tab w:leader="none" w:pos="1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recruit, hire, train and manage additional qualified engineers for our research and development activities, particularly in our offices in Asia and especially for the positions of semiconductor design and systems, applications engineering and computer vision development;</w:t>
      </w:r>
    </w:p>
    <w:p>
      <w:pPr>
        <w:spacing w:after="0" w:line="15" w:lineRule="exact"/>
        <w:rPr>
          <w:rFonts w:ascii="Arial" w:cs="Arial" w:eastAsia="Arial" w:hAnsi="Arial"/>
          <w:sz w:val="16"/>
          <w:szCs w:val="16"/>
          <w:color w:val="auto"/>
        </w:rPr>
      </w:pPr>
    </w:p>
    <w:p>
      <w:pPr>
        <w:ind w:left="1540" w:hanging="50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additional sales and business development personnel;</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additional finance and accounting personnel;</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and improve our administrative, financial and operational systems, procedures and controls; and</w:t>
      </w:r>
    </w:p>
    <w:p>
      <w:pPr>
        <w:spacing w:after="0" w:line="117" w:lineRule="exact"/>
        <w:rPr>
          <w:rFonts w:ascii="Arial" w:cs="Arial" w:eastAsia="Arial" w:hAnsi="Arial"/>
          <w:sz w:val="18"/>
          <w:szCs w:val="18"/>
          <w:color w:val="auto"/>
        </w:rPr>
      </w:pPr>
    </w:p>
    <w:p>
      <w:pPr>
        <w:ind w:left="1540" w:right="340" w:hanging="506"/>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enhance our information technology support for enterprise resource planning and design engineering by adapting and expanding our systems and tool capabilities, and properly training new hires as to their use.</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are likely to incur the costs associated with these increased investments earlier than some of the anticipated benefits, and the return on these investments, if any, may be lower, may develop more slowly than we expect or may not materialize. In addition, development of products to address emerging markets, such as the OEM automotive and robotics markets, could negatively impact our ability to develop new products for our current markets, which may harm our financial condition, particularly in the near term.</w:t>
      </w:r>
    </w:p>
    <w:p>
      <w:pPr>
        <w:spacing w:after="0" w:line="79" w:lineRule="exact"/>
        <w:rPr>
          <w:sz w:val="20"/>
          <w:szCs w:val="20"/>
          <w:color w:val="auto"/>
        </w:rPr>
      </w:pPr>
    </w:p>
    <w:p>
      <w:pPr>
        <w:ind w:right="240" w:firstLine="518"/>
        <w:spacing w:after="0" w:line="342" w:lineRule="auto"/>
        <w:rPr>
          <w:sz w:val="20"/>
          <w:szCs w:val="20"/>
          <w:color w:val="auto"/>
        </w:rPr>
      </w:pPr>
      <w:r>
        <w:rPr>
          <w:rFonts w:ascii="Arial" w:cs="Arial" w:eastAsia="Arial" w:hAnsi="Arial"/>
          <w:sz w:val="16"/>
          <w:szCs w:val="16"/>
          <w:color w:val="auto"/>
        </w:rPr>
        <w:t>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24"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semiconductor industry requires substantial investment in research and development in order to bring to market new and enhanced solutions. Our research and development expense was $128.1 million, $115.5 million and $101.2 million in fiscal years 2019, 2018 and 2017, respectively. For the three months ended April 30, 2019, our research and development expense was $33.0 million. We expect to increase our research and development expenditures as compared to prior periods as part of our strategy of focusing on the development of innovative video and image processing solutions with increased functionality, such as computer vision capabilities, and as we target new markets, such as the automotive OEM and robotics markets. We are unable to predict whether we will have sufficient resources to maintain the level of investment in research and development required to remain competitive. For example, development in the latest process nodes, such as 10nm and 7nm, can cost significantly more than required to develop in larger process nodes, such as 28nm.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may have difficulty accurately predicting our future revenue and appropriately budgeting our expenses.</w:t>
      </w:r>
    </w:p>
    <w:p>
      <w:pPr>
        <w:spacing w:after="0" w:line="11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The rapidly evolving nature of the markets in which we sell our solutions, combined with substantial uncertainty concerning how these markets may develop and other factors beyond our control, limits our ability to accurately forecast quarterly or annual revenue. We continue to expand our staffing and increase our expenditures in anticipation of future revenue growth. If our revenue does not increase as anticipated, we could incur significant losses due to our higher expense levels if we are not able to decrease our expenses in a timely manner to offset any shortfall in future revenue.</w:t>
      </w:r>
    </w:p>
    <w:p>
      <w:pPr>
        <w:spacing w:after="0" w:line="154"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b w:val="1"/>
          <w:bCs w:val="1"/>
          <w:i w:val="1"/>
          <w:iCs w:val="1"/>
          <w:color w:val="auto"/>
        </w:rPr>
        <w:t>We may experience difficulties demonstrating the value to customers of newer, higher priced and higher margin solutions if they believe existing solutions are adequate to meet end customer expectations.</w:t>
      </w:r>
    </w:p>
    <w:p>
      <w:pPr>
        <w:spacing w:after="0" w:line="62"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As we develop and introduce new solutions, we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Owing to the extensive time and resources that we invest in developing new solutions, if we are unable to sell customers new generations of our solutions, or if we face pricing pressures on our new solutions, our revenue could decline and our business, financial condition, operating results and cash flows could be negatively affected.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jc w:val="both"/>
        <w:ind w:right="360" w:firstLine="518"/>
        <w:spacing w:after="0" w:line="264" w:lineRule="auto"/>
        <w:rPr>
          <w:sz w:val="20"/>
          <w:szCs w:val="20"/>
          <w:color w:val="auto"/>
        </w:rPr>
      </w:pPr>
      <w:r>
        <w:rPr>
          <w:rFonts w:ascii="Arial" w:cs="Arial" w:eastAsia="Arial" w:hAnsi="Arial"/>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73"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166"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b w:val="1"/>
          <w:bCs w:val="1"/>
          <w:i w:val="1"/>
          <w:iCs w:val="1"/>
          <w:color w:val="auto"/>
        </w:rPr>
        <w:t>Camera manufacturers incorporate components supplied by multiple third parties, and a supply shortage or delay in delivery of these components could delay orders for our solutions by our customers.</w:t>
      </w:r>
    </w:p>
    <w:p>
      <w:pPr>
        <w:spacing w:after="0" w:line="6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Our customers purchase components used in the manufacture of their cameras from various sources of supply, often involving several specialized components, including lenses, sensors, and memory chips. Any supply shortage or delay in delivery by third-party component suppliers, or a third-party supplier’s cessation or shut down of its business, may prevent or delay production of our customers’ products. In addition, replacement or substitute components may not be available on commercially reasonable terms, or at all. As a result of delays in delivery or supply shortages of third-party components, orders for our solutions may be delayed or canceled and our business may be harmed. For example, a disruption in the availability of image sensors from Sony Corporation as a result of the April 14, 2016 Kumamoto, Japan earthquake impacted our customers’ ability to build or launch cameras and, as a result, negatively impacted the timing and scope of demand for our SoCs in the second and third quarters of fiscal year 2017.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 Errors or defects within a camera system or in the manner in which the various components interact could prevent or delay production of our customers’ products, which could harm our business.</w:t>
      </w:r>
    </w:p>
    <w:p>
      <w:pPr>
        <w:spacing w:after="0" w:line="173" w:lineRule="exact"/>
        <w:rPr>
          <w:sz w:val="20"/>
          <w:szCs w:val="20"/>
          <w:color w:val="auto"/>
        </w:rPr>
      </w:pPr>
    </w:p>
    <w:p>
      <w:pPr>
        <w:ind w:right="200" w:firstLine="518"/>
        <w:spacing w:after="0" w:line="375" w:lineRule="auto"/>
        <w:rPr>
          <w:sz w:val="20"/>
          <w:szCs w:val="20"/>
          <w:color w:val="auto"/>
        </w:rPr>
      </w:pPr>
      <w:r>
        <w:rPr>
          <w:rFonts w:ascii="Arial" w:cs="Arial" w:eastAsia="Arial" w:hAnsi="Arial"/>
          <w:sz w:val="15"/>
          <w:szCs w:val="15"/>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We also have products supplied by Global UniChip Corporation, or GUC, in Taiwan, from whom we purchase fully assembled and tested products. The wafers used by GUC in the assembly of our products are manufactured by TSMC in Taiwan. The assembly is done by GUC subcontracted assembly suppliers ASE, and Powertech Technology Inc, or PTI. Final testing of all of our products is handled by King Yuan Electronics Co., Ltd. or Sigurd Corporation under the supervision of our engineers. We depend on these third parties to supply us with material of a requested quantity in a timely manner that meets our standards for yield, cost and manufacturing quality. We do not have any long-term supply agreements with any of our manufacturing suppliers. If one or more of these vendors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and damage our customer relationships.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left="520"/>
        <w:spacing w:after="0"/>
        <w:rPr>
          <w:sz w:val="20"/>
          <w:szCs w:val="20"/>
          <w:color w:val="auto"/>
        </w:rPr>
      </w:pPr>
      <w:r>
        <w:rPr>
          <w:rFonts w:ascii="Arial" w:cs="Arial" w:eastAsia="Arial" w:hAnsi="Arial"/>
          <w:sz w:val="17"/>
          <w:szCs w:val="17"/>
          <w:b w:val="1"/>
          <w:bCs w:val="1"/>
          <w:i w:val="1"/>
          <w:iCs w:val="1"/>
          <w:color w:val="auto"/>
        </w:rPr>
        <w:t>If our foundry vendors do not achieve satisfactory yields or quality, our reputation and customer relationships could be harmed.</w:t>
      </w:r>
    </w:p>
    <w:p>
      <w:pPr>
        <w:spacing w:after="0" w:line="129"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74"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to keep more than minimal inventory on hand. As a result, we may not be able to meet customer needs during such a transition, which could delay shipments, cause production delays, result in a decline in our sales and damage our customer relationships.</w:t>
      </w:r>
    </w:p>
    <w:p>
      <w:pPr>
        <w:spacing w:after="0" w:line="189"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such as the 7nm process node, and potentially to new foundries. We depend on Samsung and TSMC, as the principal foundries for our products, to transition to new processes successfully. We cannot assure you that Samsung or TSMC will be able to effectively manage such transitions or that we will be able to maintain our relationship with Samsung or TSMC or develop relationships with new foundries. Moreover, as we utilize more advanced process nodes beyond 10nm, we are increasingly dependent upon Samsung and TSMC, who are the only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 As new processes become more prevalent, we expect to continue to integrate greater levels of functionality, as well as more end-customer and third-party intellectual property, into our solutions. We may not be able to achieve higher levels of design integration or deliver new integrated solutions on a timely basis.</w:t>
      </w:r>
    </w:p>
    <w:p>
      <w:pPr>
        <w:spacing w:after="0" w:line="175"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62"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93"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We have invested significant resources to develop relationships with these industry leaders. We believe that utilizing next-generation development tools to design, simulate and verify our products will help us remain at the forefront of the video compression market, and develop solutions that utilize leading-edge technology on a rapid basis. If these relationships are not successful, we may be unable to develop new products or product enhancements in a timely manner, which could result in a loss of market share, a decrease in revenue or negatively impact our operating results.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ind w:right="60" w:firstLine="518"/>
        <w:spacing w:after="0" w:line="277"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62"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7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legal standards relating to the validity, enforceability and scope of protection of intellectual property rights are uncertain and evolving. We cannot assure you that others will not develop or patent similar or superior technologies, products or services, or that our patents, trademarks and other intellectual property will not be challenged, invalidated or circumvented by others.</w:t>
      </w:r>
    </w:p>
    <w:p>
      <w:pPr>
        <w:spacing w:after="0" w:line="18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Although we are not aware of any unauthorized use of our intellectual property in the past, it is possible that unauthorized use of our intellectual property may have occurred or may occur without our knowledge. We cannot assure you that the steps we have taken will prevent unauthorized use of our intellectual property. Our failure to effectively protect our intellectual property could reduce the value of our technology in licensing arrangements or in cross-licensing negotiations.</w:t>
      </w:r>
    </w:p>
    <w:p>
      <w:pPr>
        <w:spacing w:after="0" w:line="158"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78"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62" w:lineRule="exact"/>
        <w:rPr>
          <w:sz w:val="20"/>
          <w:szCs w:val="20"/>
          <w:color w:val="auto"/>
        </w:rPr>
      </w:pPr>
    </w:p>
    <w:p>
      <w:pPr>
        <w:ind w:right="180" w:firstLine="518"/>
        <w:spacing w:after="0" w:line="272" w:lineRule="auto"/>
        <w:rPr>
          <w:sz w:val="20"/>
          <w:szCs w:val="20"/>
          <w:color w:val="auto"/>
        </w:rPr>
      </w:pPr>
      <w:r>
        <w:rPr>
          <w:rFonts w:ascii="Arial" w:cs="Arial" w:eastAsia="Arial" w:hAnsi="Arial"/>
          <w:sz w:val="17"/>
          <w:szCs w:val="17"/>
          <w:color w:val="auto"/>
        </w:rPr>
        <w:t>The semiconductor industry is characterized by vigorous protection and pursuit of intellectual property rights and positions, which has resulted in protracted and expensive litigation for many companies. Certain of our customers have received, and we expect, particularly to the extent we gain greater market visibility, that in the future we may receive, communications from others alleging our infringement of their patents, trade secrets or other intellectual property rights. In addition, certain of our end customers have been the subject of lawsuits alleging infringement of intellectual property rights by products incorporating our solutions, including the assertion that the alleged infringement may be attributable, at least in part, to our technology. Lawsuits resulting from such allegations could subject us to significant liability for damages and invalidate our proprietary rights, though this has not occurred to date. Any potential intellectual property litigation also could force us to do one or more of the following:</w:t>
      </w:r>
    </w:p>
    <w:p>
      <w:pPr>
        <w:spacing w:after="0" w:line="70" w:lineRule="exact"/>
        <w:rPr>
          <w:sz w:val="20"/>
          <w:szCs w:val="20"/>
          <w:color w:val="auto"/>
        </w:rPr>
      </w:pPr>
    </w:p>
    <w:p>
      <w:pPr>
        <w:ind w:left="1540" w:hanging="506"/>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stop selling products or using technology that contain the allegedly infringing intellectual property;</w:t>
      </w:r>
    </w:p>
    <w:p>
      <w:pPr>
        <w:spacing w:after="0" w:line="117" w:lineRule="exact"/>
        <w:rPr>
          <w:rFonts w:ascii="Arial" w:cs="Arial" w:eastAsia="Arial" w:hAnsi="Arial"/>
          <w:sz w:val="18"/>
          <w:szCs w:val="18"/>
          <w:color w:val="auto"/>
        </w:rPr>
      </w:pPr>
    </w:p>
    <w:p>
      <w:pPr>
        <w:ind w:left="1540" w:right="100" w:hanging="506"/>
        <w:spacing w:after="0" w:line="27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against others;</w:t>
      </w:r>
    </w:p>
    <w:p>
      <w:pPr>
        <w:spacing w:after="0" w:line="62" w:lineRule="exact"/>
        <w:rPr>
          <w:rFonts w:ascii="Arial" w:cs="Arial" w:eastAsia="Arial" w:hAnsi="Arial"/>
          <w:sz w:val="18"/>
          <w:szCs w:val="18"/>
          <w:color w:val="auto"/>
        </w:rPr>
      </w:pPr>
    </w:p>
    <w:p>
      <w:pPr>
        <w:ind w:left="1540" w:hanging="506"/>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may be found to be infringing;</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left="1540" w:right="160" w:hanging="506"/>
        <w:spacing w:after="0" w:line="277"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significant impairment of our intellectual property rights from any litigation we face could harm our business and our ability to compete.</w:t>
      </w:r>
    </w:p>
    <w:p>
      <w:pPr>
        <w:spacing w:after="0" w:line="23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170"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Although we have not incurred significant indemnity expenses related to intellectual property claims to date, we anticipate that we will receive requests for indemnity in the future pursuant to our license agreements with our customers. In addition, other customers or end customers with whom we do not have formal agreements requiring us to indemnify them may ask us to indemnify them if a claim is made as a condition to awarding future design wins to us. Because some of our ODMs and OEMs are larger than we are and have greater resources than we do, they may be more likely to be the target of an infringement claim by third parties than we would be, which could increase our chances of becoming involved in a future lawsuit. Although we have not yet been subject to such claims,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warranty and product liability claims and to product recalls.</w:t>
      </w:r>
    </w:p>
    <w:p>
      <w:pPr>
        <w:spacing w:after="0" w:line="225"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UAV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ind w:left="520"/>
        <w:spacing w:after="0"/>
        <w:rPr>
          <w:sz w:val="20"/>
          <w:szCs w:val="20"/>
          <w:color w:val="auto"/>
        </w:rPr>
      </w:pPr>
      <w:r>
        <w:rPr>
          <w:rFonts w:ascii="Arial" w:cs="Arial" w:eastAsia="Arial" w:hAnsi="Arial"/>
          <w:sz w:val="18"/>
          <w:szCs w:val="18"/>
          <w:b w:val="1"/>
          <w:bCs w:val="1"/>
          <w:i w:val="1"/>
          <w:iCs w:val="1"/>
          <w:color w:val="auto"/>
        </w:rPr>
        <w:t>A breach of our security systems may have a material adverse effect on our business.</w:t>
      </w:r>
    </w:p>
    <w:p>
      <w:pPr>
        <w:spacing w:after="0" w:line="225"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Our security systems are designed to maintain the physical security of our facilities and information systems and protect our customers’, suppliers’ and employees’ confidential information. Accidental or willful security breaches or other unauthorized access by third parties to our facilities or our information systems or the existence of computer viruses in our data or software could expose us to a risk of information loss and misappropriation of proprietary and confidential information. Security breaches, computer malware and computer hacking attacks have become more prevalent and sophisticated. Experienced computer programmers and hackers may be able to penetrate our security controls and misappropriate or compromise our confidential information or that of third parties or create system disruptions. Computer programmers and hackers also may be able to develop and deploy viruses, worms and other malicious software programs that attack our information systems and cause disruptions of our business. Data security breaches may also result from non-technical means, for example, actions by an employee. Any theft or misuse of this information could result in, among other things, damage to our reputation, allegations by our customers that we have not performed our contractual obligations, litigation by affected parties and possible financial obligations for liabilities and damages related to the theft or misuse of this information, any of which could have a material adverse effect on our business, financial condition, our reputation, and our relationships with our customers and partners. 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Any security breaches or other unauthorized access by third parties to the systems of our cloud-based service providers or the existence of computer viruses in their data or software could expose us to a risk of information loss and misappropriation of confidential information. Since the techniques used to obtain unauthorized access or to sabotage systems change frequently and are often not recognized until launched against a target, we may be unable to anticipate these techniques or to implement adequate preventative measures.</w:t>
      </w:r>
    </w:p>
    <w:p>
      <w:pPr>
        <w:spacing w:after="0" w:line="178"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6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67" w:lineRule="exact"/>
        <w:rPr>
          <w:sz w:val="20"/>
          <w:szCs w:val="20"/>
          <w:color w:val="auto"/>
        </w:rPr>
      </w:pPr>
    </w:p>
    <w:p>
      <w:pPr>
        <w:ind w:right="260" w:firstLine="518"/>
        <w:spacing w:after="0" w:line="273" w:lineRule="auto"/>
        <w:rPr>
          <w:sz w:val="20"/>
          <w:szCs w:val="20"/>
          <w:color w:val="auto"/>
        </w:rPr>
      </w:pPr>
      <w:r>
        <w:rPr>
          <w:rFonts w:ascii="Arial" w:cs="Arial" w:eastAsia="Arial" w:hAnsi="Arial"/>
          <w:sz w:val="17"/>
          <w:szCs w:val="17"/>
          <w:color w:val="auto"/>
        </w:rPr>
        <w:t>Additionally, we incorporate third-party technology into some of our products, and we may do so in future products. The operation of our products could be impaired if errors occur in the third-party technology we use. It may be more difficult for us to correct any errors in a timely manner, if at all, because the development and maintenance of the technology is not within our control. We cannot assure you that these third parties will continue to make their technology, or improvements to the technology, available to us, or that they will continue to support and maintain their technology. Further, due to the limited number of vendors of some types of technology, it may be difficult to obtain new licenses or replace existing technology. Any impairment of the technology of or our relationship with these third parties could harm our business.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governmental laws, regulations and other legal obligations related to privacy and data protection.</w:t>
      </w:r>
    </w:p>
    <w:p>
      <w:pPr>
        <w:spacing w:after="0" w:line="225"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The legislative and regulatory framework for privacy and data protection issues worldwide is rapidly evolving and is likely to remain uncertain for the foreseeable future. We collect personally identifiable information, or PII, and other data as part of our business processes and activities. This data is subject to a variety of U.S. and international laws and regulations, including oversight by various regulatory or other governmental bodies. Many foreign countries and governmental bodies, including the European Union and other relevant jurisdictions where we conduct business, have laws and regulations concerning the collection and use of PII and other data obtained from their residents or by businesses operating within their jurisdictions that are currently more restrictive than those in the U.S. For example, effective May 2018, the European Union adopted the General Data Protection Regulation that imposed more stringent data protection requirements and provided for greater penalties for noncompliance. Any inability, or perceived inability, to adequately address privacy and data protection concerns, even if unfounded, or to comply with applicable laws, regulations, policies, industry standards, contractual obligations or other legal obligations, could result in additional cost and liability to us, damage our reputation and adversely affect our business.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right="440" w:firstLine="518"/>
        <w:spacing w:after="0" w:line="277" w:lineRule="auto"/>
        <w:rPr>
          <w:sz w:val="20"/>
          <w:szCs w:val="20"/>
          <w:color w:val="auto"/>
        </w:rPr>
      </w:pPr>
      <w:r>
        <w:rPr>
          <w:rFonts w:ascii="Arial" w:cs="Arial" w:eastAsia="Arial" w:hAnsi="Arial"/>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70" w:lineRule="exact"/>
        <w:rPr>
          <w:sz w:val="20"/>
          <w:szCs w:val="20"/>
          <w:color w:val="auto"/>
        </w:rPr>
      </w:pPr>
    </w:p>
    <w:p>
      <w:pPr>
        <w:ind w:right="160" w:firstLine="518"/>
        <w:spacing w:after="0" w:line="271" w:lineRule="auto"/>
        <w:rPr>
          <w:sz w:val="20"/>
          <w:szCs w:val="20"/>
          <w:color w:val="auto"/>
        </w:rPr>
      </w:pPr>
      <w:r>
        <w:rPr>
          <w:rFonts w:ascii="Arial" w:cs="Arial" w:eastAsia="Arial" w:hAnsi="Arial"/>
          <w:sz w:val="17"/>
          <w:szCs w:val="17"/>
          <w:color w:val="auto"/>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spacing w:after="0" w:line="179" w:lineRule="exact"/>
        <w:rPr>
          <w:sz w:val="20"/>
          <w:szCs w:val="20"/>
          <w:color w:val="auto"/>
        </w:rPr>
      </w:pPr>
    </w:p>
    <w:p>
      <w:pPr>
        <w:ind w:right="800" w:firstLine="518"/>
        <w:spacing w:after="0" w:line="277" w:lineRule="auto"/>
        <w:rPr>
          <w:sz w:val="20"/>
          <w:szCs w:val="20"/>
          <w:color w:val="auto"/>
        </w:rPr>
      </w:pPr>
      <w:r>
        <w:rPr>
          <w:rFonts w:ascii="Arial" w:cs="Arial" w:eastAsia="Arial" w:hAnsi="Arial"/>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62"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79"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Some of our operations, as well as the operations of our contract manufacturers and foundry vendors and other suppliers, are also regulated under various other federal, state, local, foreign and international environmental laws and requirements, including those governing, among other matters, the management, disposal, handling, use, labeling of, and exposure to hazardous substances, and the discharge of pollutants into the air and water. Liability under environmental laws can be joint and several and without regard to comparative fault. We cannot assure you that violations of these laws will not occur in the future, as a result of human error, accident, equipment failure or other causes. Environmental laws and regulations have increasingly become more stringent over time. We expect that our products and operations will be affected by new environmental requirements on an ongoing basis, which will likely result in additional costs, which could adversely affect our business.</w:t>
      </w:r>
    </w:p>
    <w:p>
      <w:pPr>
        <w:spacing w:after="0" w:line="17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8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ind w:left="520"/>
        <w:spacing w:after="0"/>
        <w:rPr>
          <w:sz w:val="20"/>
          <w:szCs w:val="20"/>
          <w:color w:val="auto"/>
        </w:rPr>
      </w:pPr>
      <w:r>
        <w:rPr>
          <w:rFonts w:ascii="Arial" w:cs="Arial" w:eastAsia="Arial" w:hAnsi="Arial"/>
          <w:sz w:val="15"/>
          <w:szCs w:val="15"/>
          <w:b w:val="1"/>
          <w:bCs w:val="1"/>
          <w:i w:val="1"/>
          <w:iCs w:val="1"/>
          <w:color w:val="auto"/>
        </w:rPr>
        <w:t>Rapidly changing industry standards could make our video and image processing solutions obsolete, which would cause our operating results 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suffer.</w:t>
      </w:r>
    </w:p>
    <w:p>
      <w:pPr>
        <w:spacing w:after="0" w:line="103"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We design our video and image processing solutions to conform to video compression standards, including MPEG-2, H.264 and H.265, set by industry standards setting bodies such as ITU-T Video Coding Experts Group and the ISO/IEC Moving Picture Experts Group.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As a result, our sales would suffer, and we could be required to make significant expenditures to develop new SoC solutions. For example, if the new H.265 video compression standard is not broadly adopted by our customers or potential customers, sales of our H.265 compliant solutions would suffer and we may be required to expend substantial resources to comply with an alternative video compression standard. In addition, existing standards may be challenged as infringing upon the intellectual property rights of other companies or may be superseded by new innovations or standards.</w:t>
      </w:r>
    </w:p>
    <w:p>
      <w:pPr>
        <w:spacing w:after="0" w:line="18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Products for communications applications are based on industry standards that are continually evolving. Our ability to compete in the future will depend on our ability to identify and ensure compliance with these evolving industry standards, including any new video compression standards. The emergence of new industry standards could render our solutions incompatible with products developed by other suppliers. As a result, we could be required to invest significant time and effort and to incur significant expense to redesign our solutions to ensure compliance with relevant standards. If our solutions are not in compliance with prevailing industry standards for a significant period of time, we could miss opportunities to achieve crucial design wins, which could harm our business.</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225"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the recent global recession. These downturns have been characterized by diminished product demand, production overcapacity, high inventory levels and accelerated erosion of average selling prices. Any future downturns could harm our business and operating results. Furthermore, any significant upturn in the semiconductor industry could result in increased competition for access to third-party foundry and assembly capacity. We are dependent on the availability of this capacity to manufacture and assemble our SoC solutions. None of our third-party foundry or assembly contractors has provided assurances that adequate capacity will be available to us in the future.</w:t>
      </w:r>
    </w:p>
    <w:p>
      <w:pPr>
        <w:spacing w:after="0" w:line="178"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62"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173"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ind w:right="60" w:firstLine="518"/>
        <w:spacing w:after="0" w:line="342" w:lineRule="auto"/>
        <w:rPr>
          <w:sz w:val="20"/>
          <w:szCs w:val="20"/>
          <w:color w:val="auto"/>
        </w:rPr>
      </w:pPr>
      <w:r>
        <w:rPr>
          <w:rFonts w:ascii="Arial" w:cs="Arial" w:eastAsia="Arial" w:hAnsi="Arial"/>
          <w:sz w:val="16"/>
          <w:szCs w:val="16"/>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6"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have research and development design centers and business development offices in China, Japan, Italy,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50" w:lineRule="exact"/>
        <w:rPr>
          <w:sz w:val="20"/>
          <w:szCs w:val="20"/>
          <w:color w:val="auto"/>
        </w:rPr>
      </w:pPr>
    </w:p>
    <w:p>
      <w:pPr>
        <w:ind w:left="1540" w:hanging="506"/>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complexity and costs of managing international operations;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and more difficult collection of receivables;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enforcing contracts generally;</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regional economic instability;</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geopolitical instability and military conflicts;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protection of our intellectual property and other assets;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compliance with local laws and regulations and unanticipated changes in local laws and regulations, including tax laws and regulations;</w:t>
      </w:r>
    </w:p>
    <w:p>
      <w:pPr>
        <w:spacing w:after="0" w:line="140" w:lineRule="exact"/>
        <w:rPr>
          <w:rFonts w:ascii="Arial" w:cs="Arial" w:eastAsia="Arial" w:hAnsi="Arial"/>
          <w:sz w:val="16"/>
          <w:szCs w:val="16"/>
          <w:color w:val="auto"/>
        </w:rPr>
      </w:pPr>
    </w:p>
    <w:p>
      <w:pPr>
        <w:ind w:left="1540" w:hanging="506"/>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travel restrictions;</w:t>
      </w:r>
    </w:p>
    <w:p>
      <w:pPr>
        <w:spacing w:after="0" w:line="117" w:lineRule="exact"/>
        <w:rPr>
          <w:rFonts w:ascii="Arial" w:cs="Arial" w:eastAsia="Arial" w:hAnsi="Arial"/>
          <w:sz w:val="18"/>
          <w:szCs w:val="18"/>
          <w:color w:val="auto"/>
        </w:rPr>
      </w:pPr>
    </w:p>
    <w:p>
      <w:pPr>
        <w:ind w:left="1540" w:right="740" w:hanging="506"/>
        <w:spacing w:after="0" w:line="277"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2" w:lineRule="exact"/>
        <w:rPr>
          <w:rFonts w:ascii="Arial" w:cs="Arial" w:eastAsia="Arial" w:hAnsi="Arial"/>
          <w:sz w:val="18"/>
          <w:szCs w:val="18"/>
          <w:color w:val="auto"/>
        </w:rPr>
      </w:pPr>
    </w:p>
    <w:p>
      <w:pPr>
        <w:ind w:left="1540" w:hanging="506"/>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exchange fluctuations relating to our international operating activities;</w:t>
      </w:r>
    </w:p>
    <w:p>
      <w:pPr>
        <w:spacing w:after="0" w:line="117" w:lineRule="exact"/>
        <w:rPr>
          <w:rFonts w:ascii="Arial" w:cs="Arial" w:eastAsia="Arial" w:hAnsi="Arial"/>
          <w:sz w:val="18"/>
          <w:szCs w:val="18"/>
          <w:color w:val="auto"/>
        </w:rPr>
      </w:pPr>
    </w:p>
    <w:p>
      <w:pPr>
        <w:ind w:left="1540" w:right="240" w:hanging="506"/>
        <w:spacing w:after="0" w:line="277"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imposed by the U.S. government on our ability to do business with certain companies or in certain countries as a result of international political conflicts;</w:t>
      </w:r>
    </w:p>
    <w:p>
      <w:pPr>
        <w:spacing w:after="0" w:line="62" w:lineRule="exact"/>
        <w:rPr>
          <w:rFonts w:ascii="Arial" w:cs="Arial" w:eastAsia="Arial" w:hAnsi="Arial"/>
          <w:sz w:val="18"/>
          <w:szCs w:val="18"/>
          <w:color w:val="auto"/>
        </w:rPr>
      </w:pPr>
    </w:p>
    <w:p>
      <w:pPr>
        <w:ind w:left="1540" w:right="40" w:hanging="506"/>
        <w:spacing w:after="0" w:line="277"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62" w:lineRule="exact"/>
        <w:rPr>
          <w:rFonts w:ascii="Arial" w:cs="Arial" w:eastAsia="Arial" w:hAnsi="Arial"/>
          <w:sz w:val="18"/>
          <w:szCs w:val="18"/>
          <w:color w:val="auto"/>
        </w:rPr>
      </w:pPr>
    </w:p>
    <w:p>
      <w:pPr>
        <w:ind w:left="1540" w:hanging="506"/>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staffing international operations;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standards and practices in the U.S.;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regional health issues and natural disasters; and</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25" w:lineRule="exact"/>
        <w:rPr>
          <w:sz w:val="20"/>
          <w:szCs w:val="20"/>
          <w:color w:val="auto"/>
        </w:rPr>
      </w:pPr>
    </w:p>
    <w:p>
      <w:pPr>
        <w:ind w:right="280" w:firstLine="518"/>
        <w:spacing w:after="0" w:line="381" w:lineRule="auto"/>
        <w:rPr>
          <w:sz w:val="20"/>
          <w:szCs w:val="20"/>
          <w:color w:val="auto"/>
        </w:rPr>
      </w:pPr>
      <w:r>
        <w:rPr>
          <w:rFonts w:ascii="Arial" w:cs="Arial" w:eastAsia="Arial" w:hAnsi="Arial"/>
          <w:sz w:val="15"/>
          <w:szCs w:val="15"/>
          <w:b w:val="1"/>
          <w:bCs w:val="1"/>
          <w:i w:val="1"/>
          <w:iCs w:val="1"/>
          <w:color w:val="auto"/>
        </w:rPr>
        <w:t>Our third-party contractors and their suppliers are concentrated in South Korea, Taiwan and Japan, a region subject to earthquakes and other natural disasters. Any disruption to the operations of these contractors could cause significant delays in the production or shipment of our products.</w:t>
      </w:r>
    </w:p>
    <w:p>
      <w:pPr>
        <w:spacing w:after="0" w:line="101"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For example, in December 2006 a major earthquake occurred in Taiwan and in March 2011 a major earthquake and tsunami occurred in Japan. Although we are not aware of any significant damage suffered by our third-party contractors as a result of those natural disasters, the occurrence of additional earthquakes or other natural disasters could result in the disruption of our foundry vendor or assembly and test capacity. A disruption in the availability of image sensors from Sony Corporation as a result of the April 14, 2016 Kumamoto, Japan earthquake impacted our customers’ ability to build or launch cameras and, as a result, negatively impacted the timing and scope of demand for our SoCs in fiscal year 2017.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0" w:name="page51"/>
    <w:bookmarkEnd w:id="50"/>
    <w:p>
      <w:pPr>
        <w:ind w:left="520"/>
        <w:spacing w:after="0"/>
        <w:rPr>
          <w:sz w:val="20"/>
          <w:szCs w:val="20"/>
          <w:color w:val="auto"/>
        </w:rPr>
      </w:pPr>
      <w:r>
        <w:rPr>
          <w:rFonts w:ascii="Arial" w:cs="Arial" w:eastAsia="Arial" w:hAnsi="Arial"/>
          <w:sz w:val="18"/>
          <w:szCs w:val="18"/>
          <w:b w:val="1"/>
          <w:bCs w:val="1"/>
          <w:i w:val="1"/>
          <w:iCs w:val="1"/>
          <w:color w:val="auto"/>
        </w:rPr>
        <w:t>If our operations are interrupted, our business and reputation could suffer.</w:t>
      </w:r>
    </w:p>
    <w:p>
      <w:pPr>
        <w:spacing w:after="0" w:line="225"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Our operations and those of our manufacturers are vulnerable to interruption caused by technical breakdowns, computer hardware and software malfunctions, software viruses, infrastructure failures, fires, earthquakes, floods, power losses, telecommunications failures, terrorist attacks, wars, Internet failures and other events beyond our control. Any disruption in our services or operations could result in a reduction in revenue or a claim for substantial damages against us, regardless of whether we are responsible for that failure.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78"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170"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Stock Market, the SEC, or other regulatory authorities. Furthermore, investor perceptions of our company may suffer, and this could cause a decline in the market price of our ordinary shares. Any inability to provide reliable financial reports or prevent fraud could harm our business. We may not be able to effectively and timely implement necessary control changes and employee training to ensure continued compliance with the Sarbanes-Oxley Act and other regulatory and reporting requirements. We cannot assure you that in the future we will be able to continue to fully comply with the requirements of the Sarbanes-Oxley Act or that management or our auditors will conclude that our internal controls are effective in future periods. Irrespective of compliance with Section 404, any failure of our internal controls could have a material adverse effect on our stated results of operations and harm our reputation.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Changes to financial accounting standards may affect our results of operations and could cause us to change our business practices.</w:t>
      </w:r>
    </w:p>
    <w:p>
      <w:pPr>
        <w:spacing w:after="0" w:line="129"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including the new revenue recognition guidance and the associated adoption efforts, which are currently underway,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spacing w:after="0" w:line="178"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Upon the adoption of ASC 606 on February 1, 2018,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The complexity of calculating our tax provision may result in errors that could result in restatements of our financial statements.</w:t>
      </w:r>
    </w:p>
    <w:p>
      <w:pPr>
        <w:spacing w:after="0" w:line="12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are incorporated in the Cayman Islands and our operations are subject to income and transaction taxes in the United States, China, Hong Kong, Japan, Italy,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Restatements are generally costly and could adversely impact our results of operations or have a negative impact on the trading price of our ordinary shares.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1" w:name="page52"/>
    <w:bookmarkEnd w:id="51"/>
    <w:p>
      <w:pPr>
        <w:ind w:left="520"/>
        <w:spacing w:after="0"/>
        <w:rPr>
          <w:sz w:val="20"/>
          <w:szCs w:val="20"/>
          <w:color w:val="auto"/>
        </w:rPr>
      </w:pPr>
      <w:r>
        <w:rPr>
          <w:rFonts w:ascii="Arial" w:cs="Arial" w:eastAsia="Arial" w:hAnsi="Arial"/>
          <w:sz w:val="16"/>
          <w:szCs w:val="16"/>
          <w:b w:val="1"/>
          <w:bCs w:val="1"/>
          <w:i w:val="1"/>
          <w:iCs w:val="1"/>
          <w:color w:val="auto"/>
        </w:rPr>
        <w:t>Changes in effective tax rates or adverse outcomes resulting from examination of our income tax returns could adversely affect our results.</w:t>
      </w:r>
    </w:p>
    <w:p>
      <w:pPr>
        <w:spacing w:after="0" w:line="140"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tax effects of share-based compensation, or by changes in tax laws, regulations, accounting principles or interpretations thereof. For example, changes in tax laws, including the U.S. federal tax legislation commonly referred to as the Tax Cuts and Jobs Act of 2017 (Tax Act), as well as other factors, could cause us to experience fluctuations in our tax obligations and effective tax rates and otherwise adversely affect our tax positions and/or our tax liabilities.</w:t>
      </w:r>
    </w:p>
    <w:p>
      <w:pPr>
        <w:spacing w:after="0" w:line="15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As such, the application of accounting guidance for such items is currently uncertain. Further, compliance with the Tax Act and the accounting for such provisions require accumulation of information not previously required or regularly produced. While we have completed our accounting for the effects of the Tax Act, additional regulatory guidance may still be issued by the applicable taxing authorities which could materially affect our tax obligations and effective tax rate.</w:t>
      </w:r>
    </w:p>
    <w:p>
      <w:pPr>
        <w:spacing w:after="0" w:line="85" w:lineRule="exact"/>
        <w:rPr>
          <w:sz w:val="20"/>
          <w:szCs w:val="20"/>
          <w:color w:val="auto"/>
        </w:rPr>
      </w:pPr>
    </w:p>
    <w:p>
      <w:pPr>
        <w:ind w:right="380" w:firstLine="518"/>
        <w:spacing w:after="0" w:line="312" w:lineRule="auto"/>
        <w:rPr>
          <w:sz w:val="20"/>
          <w:szCs w:val="20"/>
          <w:color w:val="auto"/>
        </w:rPr>
      </w:pPr>
      <w:r>
        <w:rPr>
          <w:rFonts w:ascii="Arial" w:cs="Arial" w:eastAsia="Arial" w:hAnsi="Arial"/>
          <w:sz w:val="16"/>
          <w:szCs w:val="16"/>
          <w:color w:val="auto"/>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47" w:lineRule="exact"/>
        <w:rPr>
          <w:sz w:val="20"/>
          <w:szCs w:val="20"/>
          <w:color w:val="auto"/>
        </w:rPr>
      </w:pPr>
    </w:p>
    <w:p>
      <w:pPr>
        <w:ind w:right="60" w:firstLine="518"/>
        <w:spacing w:after="0" w:line="308" w:lineRule="auto"/>
        <w:rPr>
          <w:sz w:val="20"/>
          <w:szCs w:val="20"/>
          <w:color w:val="auto"/>
        </w:rPr>
      </w:pPr>
      <w:r>
        <w:rPr>
          <w:rFonts w:ascii="Arial" w:cs="Arial" w:eastAsia="Arial" w:hAnsi="Arial"/>
          <w:sz w:val="17"/>
          <w:szCs w:val="17"/>
          <w:b w:val="1"/>
          <w:bCs w:val="1"/>
          <w:i w:val="1"/>
          <w:iCs w:val="1"/>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38"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Our operations are subject to certain taxes, such as income and transaction taxes, in the Cayman Islands, the United States, China, Hong Kong, Japan, Italy,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on October 5, 2015 the Organization for Economic Co-operation and Development, or OECD, which represents a coalition of member countries, released its final reports from the BEPS Action Plans. The final reports include recommendations covering a number of issues, including country-by-country reporting, permanent establishment rules, transfer pricing rules and tax treaties. These changes, which have been or are in the process of being adopted by numerous countries, could increase uncertainties and may adversely affect our provision for income taxes. In December, 2018, the Cayman Islands passed the International Tax Co-Operation (Economic Substance) Law, 2018. Effective as of January 1, 2019, the new legislation requires Cayman Islands companies carrying one or more relevant activity to maintain a substantial economic presence in the Cayman Islands. We are not able to determine the impact on our operations and net income as of the current period, as the legislation remains subject to further clarification and interpretation.</w:t>
      </w:r>
    </w:p>
    <w:p>
      <w:pPr>
        <w:spacing w:after="0" w:line="183" w:lineRule="exact"/>
        <w:rPr>
          <w:sz w:val="20"/>
          <w:szCs w:val="20"/>
          <w:color w:val="auto"/>
        </w:rPr>
      </w:pPr>
    </w:p>
    <w:p>
      <w:pPr>
        <w:ind w:right="500" w:firstLine="518"/>
        <w:spacing w:after="0" w:line="264" w:lineRule="auto"/>
        <w:rPr>
          <w:sz w:val="20"/>
          <w:szCs w:val="20"/>
          <w:color w:val="auto"/>
        </w:rPr>
      </w:pPr>
      <w:r>
        <w:rPr>
          <w:rFonts w:ascii="Arial" w:cs="Arial" w:eastAsia="Arial" w:hAnsi="Arial"/>
          <w:sz w:val="18"/>
          <w:szCs w:val="18"/>
          <w:color w:val="auto"/>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spacing w:after="0" w:line="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2" w:name="page53"/>
    <w:bookmarkEnd w:id="52"/>
    <w:p>
      <w:pPr>
        <w:ind w:firstLine="518"/>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which could result in adverse U.S. federal income tax consequences for U.S. holders of our ordinary shares.</w:t>
      </w:r>
    </w:p>
    <w:p>
      <w:pPr>
        <w:spacing w:after="0" w:line="62"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Based on the current and anticipated valuation of our assets and the composition of our income and assets, we do not expect to be considered a passive foreign investment company, or PFIC, for U.S. federal income tax purposes for our 2020 fiscal year or the foreseeable future. However, a separate determination must be made at the close of each taxable year as to whether we are a PFIC for that taxable year, and we cannot assure you that we will not be a PFIC for our 2020 fiscal year or any future taxable year. Under current law, a non-U.S. corporation will be considered a PFIC for any taxable year if either</w:t>
      </w:r>
    </w:p>
    <w:p>
      <w:pPr>
        <w:spacing w:after="0" w:line="2" w:lineRule="exact"/>
        <w:rPr>
          <w:sz w:val="20"/>
          <w:szCs w:val="20"/>
          <w:color w:val="auto"/>
        </w:rPr>
      </w:pPr>
    </w:p>
    <w:p>
      <w:pPr>
        <w:ind w:right="40" w:firstLine="8"/>
        <w:spacing w:after="0" w:line="287" w:lineRule="auto"/>
        <w:tabs>
          <w:tab w:leader="none" w:pos="24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spacing w:after="0" w:line="17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b w:val="1"/>
          <w:bCs w:val="1"/>
          <w:i w:val="1"/>
          <w:iCs w:val="1"/>
          <w:color w:val="auto"/>
        </w:rPr>
        <w:t>Changes in our United States federal income tax classification, or that of our subsidiaries, could result in adverse tax consequences to our 10% or greater U.S. shareholders.</w:t>
      </w:r>
    </w:p>
    <w:p>
      <w:pPr>
        <w:spacing w:after="0" w:line="62" w:lineRule="exact"/>
        <w:rPr>
          <w:sz w:val="20"/>
          <w:szCs w:val="20"/>
          <w:color w:val="auto"/>
        </w:rPr>
      </w:pPr>
    </w:p>
    <w:p>
      <w:pPr>
        <w:ind w:right="500" w:firstLine="518"/>
        <w:spacing w:after="0" w:line="264" w:lineRule="auto"/>
        <w:rPr>
          <w:sz w:val="20"/>
          <w:szCs w:val="20"/>
          <w:color w:val="auto"/>
        </w:rPr>
      </w:pPr>
      <w:r>
        <w:rPr>
          <w:rFonts w:ascii="Arial" w:cs="Arial" w:eastAsia="Arial" w:hAnsi="Arial"/>
          <w:sz w:val="18"/>
          <w:szCs w:val="18"/>
          <w:color w:val="auto"/>
        </w:rPr>
        <w:t>The Tax Act may have changed the consequences to U.S. shareholders that own, or are considered to own, as a result of the attribution rules, ten percent or more of the voting power or value of the stock of a non-U.S. corporation (a 10% U.S. shareholder) under the U.S. Federal income tax law applicable to owners of U.S. controlled foreign corporations, or CFCs.</w:t>
      </w:r>
    </w:p>
    <w:p>
      <w:pPr>
        <w:spacing w:after="0" w:line="181" w:lineRule="exact"/>
        <w:rPr>
          <w:sz w:val="20"/>
          <w:szCs w:val="20"/>
          <w:color w:val="auto"/>
        </w:rPr>
      </w:pPr>
    </w:p>
    <w:p>
      <w:pPr>
        <w:ind w:right="200" w:firstLine="518"/>
        <w:spacing w:after="0" w:line="272" w:lineRule="auto"/>
        <w:rPr>
          <w:sz w:val="20"/>
          <w:szCs w:val="20"/>
          <w:color w:val="auto"/>
        </w:rPr>
      </w:pPr>
      <w:r>
        <w:rPr>
          <w:rFonts w:ascii="Arial" w:cs="Arial" w:eastAsia="Arial" w:hAnsi="Arial"/>
          <w:sz w:val="17"/>
          <w:szCs w:val="17"/>
          <w:color w:val="auto"/>
        </w:rPr>
        <w:t>Prior to the Tax Act, we did not believe that we, or any of our non-U.S. subsidiaries, were considered a CFC, which is a determination made daily based on whether the 10% U.S. shareholders together own, or are considered to own as a result of the attribution rules, more than fifty percent of the voting power or value of a non-U.S. corporation. The Tax Act repealed Internal Revenue Code Section 958(b)(4), which, unless clarified in future regulations or other guidance, may result in classification of certain of the Company’s foreign subsidiaries as CFCs with respect to any single 10% U.S. shareholder. This may be the result without regard to whether 10% U.S. shareholders together own, directly or indirectly, more than fifty percent of the voting power or value of the Company as was the case under prior rules. The repeal is effective as of the last taxable year of CFCs beginning before January 1, 2018 and for the taxable year of 10% U.S. shareholders in which the CFCs' taxable year ends.</w:t>
      </w:r>
    </w:p>
    <w:p>
      <w:pPr>
        <w:spacing w:after="0" w:line="178"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may adversely affect our operating results.</w:t>
      </w:r>
    </w:p>
    <w:p>
      <w:pPr>
        <w:spacing w:after="0" w:line="62"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camera manufacturers located outside the United States, primarily in Asia. Sales to customers in Asia accounted for approximately 87%, 79% and 73% of our total revenue in fiscal years 2019, 2018 and 2017, respectively. Sales to customers in Asia accounted for approximately 89% of our total revenue for the three months ended April 30, 2019.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16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 significant number of our employees are located in Asia, principally Taiwan and China. Therefore, a portion of our payroll as well as certain other operating expenses are paid in currencies other than the U.S. dollar, such as the New Taiwan Dollar and the Chinese Yuan Renminbi.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and between the New Taiwan Dollar and the U.S. dollar, have been especially volatile in the recent past and these currency fluctuations may make it difficult for us to predict our operating results.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ind w:right="120" w:firstLine="518"/>
        <w:spacing w:after="0" w:line="259" w:lineRule="auto"/>
        <w:rPr>
          <w:sz w:val="20"/>
          <w:szCs w:val="20"/>
          <w:color w:val="auto"/>
        </w:rPr>
      </w:pPr>
      <w:r>
        <w:rPr>
          <w:rFonts w:ascii="Arial" w:cs="Arial" w:eastAsia="Arial" w:hAnsi="Arial"/>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8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b w:val="1"/>
          <w:bCs w:val="1"/>
          <w:i w:val="1"/>
          <w:iCs w:val="1"/>
          <w:color w:val="auto"/>
        </w:rPr>
        <w:t>We may make acquisitions in the future that could disrupt our business, cause dilution to our shareholders, reduce our financial resources and harm our business.</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the future, we may acquire other businesses, products or technologies. Other than our acquisition of VisLab S.r.l., or VisLab, in June 2015, we have not made any acquisitions to date and do not have any agreements or commitments for any specific acquisition at this time. Our ability to make and successfully integrate acquisitions is unproven. Our acquisition of VisLab and any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cannot predict our future capital needs, and we may not be able to obtain additional financing to fund our operations.</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Our marketable securities portfolio could experience a decline in market value, which could materially and adversely affect our financial results.</w:t>
      </w:r>
    </w:p>
    <w:p>
      <w:pPr>
        <w:spacing w:after="0" w:line="152"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As of April 30, 2019, we had approximately $206.8 million in debt security investments. These investments consisted primarily of money market funds, certificates of deposit, commercial paper, asset-backed securities, U.S. government securities and debt securities of corporations which are focused on the preservation of our capital.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Eurozone crisis and the U.S. debt ceiling crisis, which affected various sectors of the financial markets and led to global credit and liquidity issues. If the global credit market continues to experience volatility or deteriorates, our investment portfolio may be impacted and some or all of our investments may experience other-than-temporary impairment which could adversely impact our financial results and position.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Ordinary Shares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market price of our ordinary shares may be volatile, which could cause the value of your investment to decline.</w:t>
      </w:r>
    </w:p>
    <w:p>
      <w:pPr>
        <w:spacing w:after="0" w:line="117"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Since our initial public offering in October 2012, the market price of our ordinary shares has been highly volatile. The trading price of our ordinary shares is likely to remain volatile and could be subject to wide fluctuations in price in response to various factors, some of which are beyond our control. These factors include:</w:t>
      </w:r>
    </w:p>
    <w:p>
      <w:pPr>
        <w:spacing w:after="0" w:line="73" w:lineRule="exact"/>
        <w:rPr>
          <w:sz w:val="20"/>
          <w:szCs w:val="20"/>
          <w:color w:val="auto"/>
        </w:rPr>
      </w:pPr>
    </w:p>
    <w:p>
      <w:pPr>
        <w:ind w:left="1540" w:hanging="506"/>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financial estimates, including our ability to meet our future revenue and operating profit or loss projections;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operating results or those of other semiconductor or comparable companies;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economic performance or market valuations of companies perceived by investors to be comparable to us;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developments in the semiconductor industry as a whole;</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related markets;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4" w:name="page55"/>
    <w:bookmarkEnd w:id="54"/>
    <w:p>
      <w:pPr>
        <w:ind w:left="1540" w:right="440" w:hanging="506"/>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new products, significant contracts or orders, commercial relationships or capital commitments;</w:t>
      </w:r>
    </w:p>
    <w:p>
      <w:pPr>
        <w:spacing w:after="0" w:line="62" w:lineRule="exact"/>
        <w:rPr>
          <w:rFonts w:ascii="Arial" w:cs="Arial" w:eastAsia="Arial" w:hAnsi="Arial"/>
          <w:sz w:val="18"/>
          <w:szCs w:val="18"/>
          <w:color w:val="auto"/>
        </w:rPr>
      </w:pPr>
    </w:p>
    <w:p>
      <w:pPr>
        <w:ind w:left="1540" w:hanging="506"/>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and market new and enhanced solutions on a timely basis;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demand for our customers’ products;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 to our operations;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or social conditions in the markets where we sell our products;</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governmental regulations; and</w:t>
      </w:r>
    </w:p>
    <w:p>
      <w:pPr>
        <w:spacing w:after="0" w:line="117" w:lineRule="exact"/>
        <w:rPr>
          <w:rFonts w:ascii="Arial" w:cs="Arial" w:eastAsia="Arial" w:hAnsi="Arial"/>
          <w:sz w:val="18"/>
          <w:szCs w:val="18"/>
          <w:color w:val="auto"/>
        </w:rPr>
      </w:pPr>
    </w:p>
    <w:p>
      <w:pPr>
        <w:ind w:left="1540" w:hanging="506"/>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225"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9"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downgrade our ordinary shares, publish negative research or reports or fail to publish reports about our business, our stock price and trading volume could decline.</w:t>
      </w:r>
    </w:p>
    <w:p>
      <w:pPr>
        <w:spacing w:after="0" w:line="62"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spacing w:after="0" w:line="18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b w:val="1"/>
          <w:bCs w:val="1"/>
          <w:i w:val="1"/>
          <w:iCs w:val="1"/>
          <w:color w:val="auto"/>
        </w:rPr>
        <w:t>Our actual operating results may differ significantly from our guidance and investor expectations, which would likely cause our stock price to decline.</w:t>
      </w:r>
    </w:p>
    <w:p>
      <w:pPr>
        <w:spacing w:after="0" w:line="62"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spacing w:after="0" w:line="17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price of our ordinary shares could decrease as a result of shares being sold in the market.</w:t>
      </w:r>
    </w:p>
    <w:p>
      <w:pPr>
        <w:spacing w:after="0" w:line="11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Sales of a substantial number of our ordinary shares in the public market, or the perception that these sales might occur, could cause the market price of our ordinary shares to decline. We filed registration statements on Form S-8 under the Securities Act to register shares for issuance under our 2004 Stock Plan, 2012 Equity Incentive Plan and the Amended and Restated 2012 Employee Stock Purchase Plan. Our 2012 Equity Incentive Plan and the Amended and Restated 2012 Employee Stock Purchase Plan provide for automatic increases in the shares reserved for issuance under these plans which could result in additional dilution to our shareholders. These shares can be freely sold in the public market upon issuance and vesting, subject to restrictions provided under the terms of the applicable plan and/or the option agreements entered into with option holders.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5" w:name="page56"/>
    <w:bookmarkEnd w:id="55"/>
    <w:p>
      <w:pPr>
        <w:ind w:right="500" w:firstLine="518"/>
        <w:spacing w:after="0" w:line="342" w:lineRule="auto"/>
        <w:rPr>
          <w:sz w:val="20"/>
          <w:szCs w:val="20"/>
          <w:color w:val="auto"/>
        </w:rPr>
      </w:pPr>
      <w:r>
        <w:rPr>
          <w:rFonts w:ascii="Arial" w:cs="Arial" w:eastAsia="Arial" w:hAnsi="Arial"/>
          <w:sz w:val="16"/>
          <w:szCs w:val="16"/>
          <w:color w:val="auto"/>
        </w:rPr>
        <w:t>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spacing w:after="0" w:line="124"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ordinary shares and, consequently, a shareholder’s ability to achieve a return on its investment will depend on appreciation in the price of our ordinary shares.</w:t>
      </w:r>
    </w:p>
    <w:p>
      <w:pPr>
        <w:spacing w:after="0" w:line="6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spacing w:after="0" w:line="18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62"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62" w:lineRule="exact"/>
        <w:rPr>
          <w:sz w:val="20"/>
          <w:szCs w:val="20"/>
          <w:color w:val="auto"/>
        </w:rPr>
      </w:pPr>
    </w:p>
    <w:p>
      <w:pPr>
        <w:ind w:left="1540" w:hanging="506"/>
        <w:spacing w:after="0"/>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division of our board of directors into three classes;</w:t>
      </w:r>
    </w:p>
    <w:p>
      <w:pPr>
        <w:spacing w:after="0" w:line="117" w:lineRule="exact"/>
        <w:rPr>
          <w:rFonts w:ascii="Arial" w:cs="Arial" w:eastAsia="Arial" w:hAnsi="Arial"/>
          <w:sz w:val="18"/>
          <w:szCs w:val="18"/>
          <w:color w:val="auto"/>
        </w:rPr>
      </w:pPr>
    </w:p>
    <w:p>
      <w:pPr>
        <w:ind w:left="1540" w:right="340" w:hanging="506"/>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right of our board of directors to elect a director to fill a vacancy created by the expansion of our board of directors or due to the resignation or departure of an existing board member;</w:t>
      </w:r>
    </w:p>
    <w:p>
      <w:pPr>
        <w:spacing w:after="0" w:line="62" w:lineRule="exact"/>
        <w:rPr>
          <w:rFonts w:ascii="Arial" w:cs="Arial" w:eastAsia="Arial" w:hAnsi="Arial"/>
          <w:sz w:val="18"/>
          <w:szCs w:val="18"/>
          <w:color w:val="auto"/>
        </w:rPr>
      </w:pPr>
    </w:p>
    <w:p>
      <w:pPr>
        <w:ind w:left="1540" w:right="220" w:hanging="506"/>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prohibition of cumulative voting in the election of directors which would otherwise allow less than a majority of shareholders to elect director candidates;</w:t>
      </w:r>
    </w:p>
    <w:p>
      <w:pPr>
        <w:spacing w:after="0" w:line="62" w:lineRule="exact"/>
        <w:rPr>
          <w:rFonts w:ascii="Arial" w:cs="Arial" w:eastAsia="Arial" w:hAnsi="Arial"/>
          <w:sz w:val="18"/>
          <w:szCs w:val="18"/>
          <w:color w:val="auto"/>
        </w:rPr>
      </w:pPr>
    </w:p>
    <w:p>
      <w:pPr>
        <w:ind w:left="1540" w:right="220" w:hanging="506"/>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for the advance notice of nominations for election to our board of directors or for proposing matters that can be acted upon at a shareholders’ meeting;</w:t>
      </w:r>
    </w:p>
    <w:p>
      <w:pPr>
        <w:spacing w:after="0" w:line="62"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15" w:lineRule="exact"/>
        <w:rPr>
          <w:rFonts w:ascii="Arial" w:cs="Arial" w:eastAsia="Arial" w:hAnsi="Arial"/>
          <w:sz w:val="16"/>
          <w:szCs w:val="16"/>
          <w:color w:val="auto"/>
        </w:rPr>
      </w:pPr>
    </w:p>
    <w:p>
      <w:pPr>
        <w:ind w:left="1540" w:right="240" w:hanging="506"/>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elimination of the rights of shareholders to call a special meeting of shareholders and to take action by written consent in lieu of a meeting; and</w:t>
      </w:r>
    </w:p>
    <w:p>
      <w:pPr>
        <w:spacing w:after="0" w:line="62" w:lineRule="exact"/>
        <w:rPr>
          <w:rFonts w:ascii="Arial" w:cs="Arial" w:eastAsia="Arial" w:hAnsi="Arial"/>
          <w:sz w:val="18"/>
          <w:szCs w:val="18"/>
          <w:color w:val="auto"/>
        </w:rPr>
      </w:pPr>
    </w:p>
    <w:p>
      <w:pPr>
        <w:ind w:left="1540" w:right="400" w:hanging="506"/>
        <w:spacing w:after="0" w:line="342" w:lineRule="auto"/>
        <w:tabs>
          <w:tab w:leader="none" w:pos="1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Holders of our ordinary shares may face difficulties in protecting their interests because we are incorporated under Cayman Islands law.</w:t>
      </w:r>
    </w:p>
    <w:p>
      <w:pPr>
        <w:spacing w:after="0" w:line="140"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6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6" w:name="page57"/>
    <w:bookmarkEnd w:id="56"/>
    <w:p>
      <w:pPr>
        <w:ind w:left="520"/>
        <w:spacing w:after="0"/>
        <w:rPr>
          <w:sz w:val="20"/>
          <w:szCs w:val="20"/>
          <w:color w:val="auto"/>
        </w:rPr>
      </w:pPr>
      <w:r>
        <w:rPr>
          <w:rFonts w:ascii="Arial" w:cs="Arial" w:eastAsia="Arial" w:hAnsi="Arial"/>
          <w:sz w:val="17"/>
          <w:szCs w:val="17"/>
          <w:color w:val="auto"/>
        </w:rPr>
        <w:t>Subject to limited exceptions, under Cayman Islands law, a minority shareholder may not bring a derivative action against the board of directors.</w:t>
      </w:r>
    </w:p>
    <w:p>
      <w:pPr>
        <w:spacing w:after="0" w:line="237"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20" w:type="dxa"/>
            <w:vAlign w:val="bottom"/>
            <w:gridSpan w:val="8"/>
          </w:tcPr>
          <w:p>
            <w:pPr>
              <w:ind w:left="27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520" w:type="dxa"/>
            <w:vAlign w:val="bottom"/>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3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620" w:type="dxa"/>
            <w:vAlign w:val="bottom"/>
            <w:gridSpan w:val="2"/>
          </w:tcPr>
          <w:p>
            <w:pPr>
              <w:jc w:val="right"/>
              <w:ind w:right="1000"/>
              <w:spacing w:after="0"/>
              <w:rPr>
                <w:sz w:val="20"/>
                <w:szCs w:val="20"/>
                <w:color w:val="auto"/>
              </w:rPr>
            </w:pPr>
            <w:r>
              <w:rPr>
                <w:rFonts w:ascii="Arial" w:cs="Arial" w:eastAsia="Arial" w:hAnsi="Arial"/>
                <w:sz w:val="18"/>
                <w:szCs w:val="18"/>
                <w:color w:val="auto"/>
              </w:rPr>
              <w:t>3.1(1)</w:t>
            </w:r>
          </w:p>
        </w:tc>
        <w:tc>
          <w:tcPr>
            <w:tcW w:w="9700" w:type="dxa"/>
            <w:vAlign w:val="bottom"/>
            <w:gridSpan w:val="9"/>
          </w:tcPr>
          <w:p>
            <w:pPr>
              <w:spacing w:after="0"/>
              <w:rPr>
                <w:rFonts w:ascii="Arial" w:cs="Arial" w:eastAsia="Arial" w:hAnsi="Arial"/>
                <w:sz w:val="18"/>
                <w:szCs w:val="18"/>
                <w:color w:val="0000EE"/>
                <w:w w:val="93"/>
              </w:rPr>
            </w:pPr>
            <w:hyperlink r:id="rId77">
              <w:r>
                <w:rPr>
                  <w:rFonts w:ascii="Arial" w:cs="Arial" w:eastAsia="Arial" w:hAnsi="Arial"/>
                  <w:sz w:val="18"/>
                  <w:szCs w:val="18"/>
                  <w:color w:val="0000EE"/>
                  <w:w w:val="93"/>
                </w:rPr>
                <w:t>Amended and Restated Memorandum of Association and Second Amended and Restated Articles of Association of the Registrant.</w:t>
              </w:r>
            </w:hyperlink>
          </w:p>
        </w:tc>
        <w:tc>
          <w:tcPr>
            <w:tcW w:w="0" w:type="dxa"/>
            <w:vAlign w:val="bottom"/>
          </w:tcPr>
          <w:p>
            <w:pPr>
              <w:spacing w:after="0"/>
              <w:rPr>
                <w:sz w:val="1"/>
                <w:szCs w:val="1"/>
                <w:color w:val="auto"/>
              </w:rPr>
            </w:pPr>
          </w:p>
        </w:tc>
      </w:tr>
      <w:tr>
        <w:trPr>
          <w:trHeight w:val="318"/>
        </w:trPr>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10.1(2)*</w:t>
            </w:r>
          </w:p>
        </w:tc>
        <w:tc>
          <w:tcPr>
            <w:tcW w:w="9400" w:type="dxa"/>
            <w:vAlign w:val="bottom"/>
            <w:tcBorders>
              <w:top w:val="single" w:sz="8" w:color="0000EE"/>
            </w:tcBorders>
            <w:gridSpan w:val="6"/>
          </w:tcPr>
          <w:p>
            <w:pPr>
              <w:spacing w:after="0"/>
              <w:rPr>
                <w:rFonts w:ascii="Arial" w:cs="Arial" w:eastAsia="Arial" w:hAnsi="Arial"/>
                <w:sz w:val="18"/>
                <w:szCs w:val="18"/>
                <w:color w:val="0000EE"/>
              </w:rPr>
            </w:pPr>
            <w:hyperlink r:id="rId78">
              <w:r>
                <w:rPr>
                  <w:rFonts w:ascii="Arial" w:cs="Arial" w:eastAsia="Arial" w:hAnsi="Arial"/>
                  <w:sz w:val="18"/>
                  <w:szCs w:val="18"/>
                  <w:color w:val="0000EE"/>
                </w:rPr>
                <w:t>Description of Executive Bonus Plan for Fiscal Year 2020.</w:t>
              </w:r>
            </w:hyperlink>
          </w:p>
        </w:tc>
        <w:tc>
          <w:tcPr>
            <w:tcW w:w="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3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31.1</w:t>
            </w:r>
          </w:p>
        </w:tc>
        <w:tc>
          <w:tcPr>
            <w:tcW w:w="1100" w:type="dxa"/>
            <w:vAlign w:val="bottom"/>
          </w:tcPr>
          <w:p>
            <w:pPr>
              <w:spacing w:after="0"/>
              <w:rPr>
                <w:sz w:val="24"/>
                <w:szCs w:val="24"/>
                <w:color w:val="auto"/>
              </w:rPr>
            </w:pPr>
          </w:p>
        </w:tc>
        <w:tc>
          <w:tcPr>
            <w:tcW w:w="9700" w:type="dxa"/>
            <w:vAlign w:val="bottom"/>
            <w:gridSpan w:val="9"/>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Certification of Principal Executive Officer Required Under Rule 13a-14(a) and 15d-14(a) of the Securities Exchange Act of 1934, as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amended.</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1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jc w:val="right"/>
              <w:ind w:right="13"/>
              <w:spacing w:after="0"/>
              <w:rPr>
                <w:sz w:val="20"/>
                <w:szCs w:val="20"/>
                <w:color w:val="auto"/>
              </w:rPr>
            </w:pPr>
            <w:r>
              <w:rPr>
                <w:rFonts w:ascii="Arial" w:cs="Arial" w:eastAsia="Arial" w:hAnsi="Arial"/>
                <w:sz w:val="18"/>
                <w:szCs w:val="18"/>
                <w:color w:val="auto"/>
              </w:rPr>
              <w:t>31.2</w:t>
            </w:r>
          </w:p>
        </w:tc>
        <w:tc>
          <w:tcPr>
            <w:tcW w:w="1100" w:type="dxa"/>
            <w:vAlign w:val="bottom"/>
          </w:tcPr>
          <w:p>
            <w:pPr>
              <w:spacing w:after="0"/>
              <w:rPr>
                <w:sz w:val="24"/>
                <w:szCs w:val="24"/>
                <w:color w:val="auto"/>
              </w:rPr>
            </w:pPr>
          </w:p>
        </w:tc>
        <w:tc>
          <w:tcPr>
            <w:tcW w:w="95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Certification of Principal Financial Officer Required Under Rule 13a-14(a) and 15d-14(a) of the Securities Exchange Act of 1934, as</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700" w:type="dxa"/>
            <w:vAlign w:val="bottom"/>
            <w:gridSpan w:val="9"/>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amended.</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ind w:left="100"/>
              <w:spacing w:after="0"/>
              <w:rPr>
                <w:sz w:val="20"/>
                <w:szCs w:val="20"/>
                <w:color w:val="auto"/>
              </w:rPr>
            </w:pPr>
            <w:r>
              <w:rPr>
                <w:rFonts w:ascii="Arial" w:cs="Arial" w:eastAsia="Arial" w:hAnsi="Arial"/>
                <w:sz w:val="18"/>
                <w:szCs w:val="18"/>
                <w:color w:val="auto"/>
                <w:w w:val="88"/>
              </w:rPr>
              <w:t>32.1±</w:t>
            </w:r>
          </w:p>
        </w:tc>
        <w:tc>
          <w:tcPr>
            <w:tcW w:w="1100" w:type="dxa"/>
            <w:vAlign w:val="bottom"/>
          </w:tcPr>
          <w:p>
            <w:pPr>
              <w:spacing w:after="0"/>
              <w:rPr>
                <w:sz w:val="24"/>
                <w:szCs w:val="24"/>
                <w:color w:val="auto"/>
              </w:rPr>
            </w:pPr>
          </w:p>
        </w:tc>
        <w:tc>
          <w:tcPr>
            <w:tcW w:w="970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62">
              <w:r>
                <w:rPr>
                  <w:rFonts w:ascii="Arial" w:cs="Arial" w:eastAsia="Arial" w:hAnsi="Arial"/>
                  <w:sz w:val="18"/>
                  <w:szCs w:val="18"/>
                  <w:color w:val="0000EE"/>
                  <w:w w:val="92"/>
                </w:rPr>
                <w:t>Certification of Principal Executive Officer and Principal Financial Officer Required Under Rule 13a-14(b) of the Securities Exchange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Act of 1934, as amended, and 18 U.S.C. §1350.</w:t>
              </w:r>
            </w:hyperlink>
          </w:p>
        </w:tc>
        <w:tc>
          <w:tcPr>
            <w:tcW w:w="6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6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70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6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700" w:type="dxa"/>
            <w:vAlign w:val="bottom"/>
            <w:gridSpan w:val="9"/>
          </w:tcPr>
          <w:p>
            <w:pPr>
              <w:spacing w:after="0"/>
              <w:rPr>
                <w:sz w:val="20"/>
                <w:szCs w:val="20"/>
                <w:color w:val="auto"/>
              </w:rPr>
            </w:pPr>
            <w:r>
              <w:rPr>
                <w:rFonts w:ascii="Arial" w:cs="Arial" w:eastAsia="Arial" w:hAnsi="Arial"/>
                <w:sz w:val="18"/>
                <w:szCs w:val="18"/>
                <w:color w:val="auto"/>
              </w:rPr>
              <w:t>XBRL Taxonomy Schema Linkbase Document</w:t>
            </w:r>
          </w:p>
        </w:tc>
        <w:tc>
          <w:tcPr>
            <w:tcW w:w="0" w:type="dxa"/>
            <w:vAlign w:val="bottom"/>
          </w:tcPr>
          <w:p>
            <w:pPr>
              <w:spacing w:after="0"/>
              <w:rPr>
                <w:sz w:val="1"/>
                <w:szCs w:val="1"/>
                <w:color w:val="auto"/>
              </w:rPr>
            </w:pPr>
          </w:p>
        </w:tc>
      </w:tr>
      <w:tr>
        <w:trPr>
          <w:trHeight w:val="338"/>
        </w:trPr>
        <w:tc>
          <w:tcPr>
            <w:tcW w:w="16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700" w:type="dxa"/>
            <w:vAlign w:val="bottom"/>
            <w:gridSpan w:val="9"/>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338"/>
        </w:trPr>
        <w:tc>
          <w:tcPr>
            <w:tcW w:w="16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700" w:type="dxa"/>
            <w:vAlign w:val="bottom"/>
            <w:gridSpan w:val="9"/>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r>
        <w:trPr>
          <w:trHeight w:val="338"/>
        </w:trPr>
        <w:tc>
          <w:tcPr>
            <w:tcW w:w="16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700" w:type="dxa"/>
            <w:vAlign w:val="bottom"/>
            <w:gridSpan w:val="9"/>
          </w:tcPr>
          <w:p>
            <w:pPr>
              <w:spacing w:after="0"/>
              <w:rPr>
                <w:sz w:val="20"/>
                <w:szCs w:val="20"/>
                <w:color w:val="auto"/>
              </w:rPr>
            </w:pPr>
            <w:r>
              <w:rPr>
                <w:rFonts w:ascii="Arial" w:cs="Arial" w:eastAsia="Arial" w:hAnsi="Arial"/>
                <w:sz w:val="18"/>
                <w:szCs w:val="18"/>
                <w:color w:val="auto"/>
              </w:rPr>
              <w:t>XBRL Taxonomy Labels Linkbase Document</w:t>
            </w:r>
          </w:p>
        </w:tc>
        <w:tc>
          <w:tcPr>
            <w:tcW w:w="0" w:type="dxa"/>
            <w:vAlign w:val="bottom"/>
          </w:tcPr>
          <w:p>
            <w:pPr>
              <w:spacing w:after="0"/>
              <w:rPr>
                <w:sz w:val="1"/>
                <w:szCs w:val="1"/>
                <w:color w:val="auto"/>
              </w:rPr>
            </w:pPr>
          </w:p>
        </w:tc>
      </w:tr>
      <w:tr>
        <w:trPr>
          <w:trHeight w:val="338"/>
        </w:trPr>
        <w:tc>
          <w:tcPr>
            <w:tcW w:w="16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700" w:type="dxa"/>
            <w:vAlign w:val="bottom"/>
            <w:gridSpan w:val="9"/>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8489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36" w:lineRule="exact"/>
        <w:rPr>
          <w:sz w:val="20"/>
          <w:szCs w:val="20"/>
          <w:color w:val="auto"/>
        </w:rPr>
      </w:pPr>
    </w:p>
    <w:p>
      <w:pPr>
        <w:ind w:left="520" w:right="100" w:hanging="512"/>
        <w:spacing w:after="0" w:line="258"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the Registrant’s registration statement on Form S-1 (No. 333-174838) Amendment No. 3 as filed with the Securities and Exchange Commission on September 12, 2012.</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the Form 8-K filed on March 6, 2019.</w:t>
      </w:r>
    </w:p>
    <w:p>
      <w:pPr>
        <w:spacing w:after="0" w:line="9"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contracts or compensation plans or arrangements in which directors or executive officers are eligible to participate.</w:t>
      </w:r>
    </w:p>
    <w:p>
      <w:pPr>
        <w:spacing w:after="0" w:line="9" w:lineRule="exact"/>
        <w:rPr>
          <w:sz w:val="20"/>
          <w:szCs w:val="20"/>
          <w:color w:val="auto"/>
        </w:rPr>
      </w:pPr>
    </w:p>
    <w:p>
      <w:pPr>
        <w:ind w:left="520" w:hanging="512"/>
        <w:spacing w:after="0" w:line="253" w:lineRule="auto"/>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8" w:name="page59"/>
    <w:bookmarkEnd w:id="58"/>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AMBARELLA, INC.</w:t>
      </w:r>
    </w:p>
    <w:p>
      <w:pPr>
        <w:spacing w:after="0" w:line="229" w:lineRule="exact"/>
        <w:rPr>
          <w:sz w:val="20"/>
          <w:szCs w:val="20"/>
          <w:color w:val="auto"/>
        </w:rPr>
      </w:pPr>
    </w:p>
    <w:p>
      <w:pPr>
        <w:spacing w:after="0"/>
        <w:tabs>
          <w:tab w:leader="none" w:pos="5840" w:val="left"/>
          <w:tab w:leader="none" w:pos="8140" w:val="left"/>
        </w:tabs>
        <w:rPr>
          <w:sz w:val="20"/>
          <w:szCs w:val="20"/>
          <w:color w:val="auto"/>
        </w:rPr>
      </w:pPr>
      <w:r>
        <w:rPr>
          <w:rFonts w:ascii="Arial" w:cs="Arial" w:eastAsia="Arial" w:hAnsi="Arial"/>
          <w:sz w:val="18"/>
          <w:szCs w:val="18"/>
          <w:color w:val="auto"/>
        </w:rPr>
        <w:t>Date: June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14605</wp:posOffset>
            </wp:positionV>
            <wp:extent cx="32073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jc w:val="center"/>
        <w:ind w:left="6360"/>
        <w:spacing w:after="0"/>
        <w:rPr>
          <w:sz w:val="20"/>
          <w:szCs w:val="20"/>
          <w:color w:val="auto"/>
        </w:rPr>
      </w:pPr>
      <w:r>
        <w:rPr>
          <w:rFonts w:ascii="Arial" w:cs="Arial" w:eastAsia="Arial" w:hAnsi="Arial"/>
          <w:sz w:val="14"/>
          <w:szCs w:val="14"/>
          <w:b w:val="1"/>
          <w:bCs w:val="1"/>
          <w:color w:val="auto"/>
        </w:rPr>
        <w:t>Feng-Ming Wang</w:t>
      </w:r>
    </w:p>
    <w:p>
      <w:pPr>
        <w:jc w:val="center"/>
        <w:ind w:left="63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96" w:lineRule="exact"/>
        <w:rPr>
          <w:sz w:val="20"/>
          <w:szCs w:val="20"/>
          <w:color w:val="auto"/>
        </w:rPr>
      </w:pPr>
    </w:p>
    <w:p>
      <w:pPr>
        <w:spacing w:after="0"/>
        <w:tabs>
          <w:tab w:leader="none" w:pos="5840" w:val="left"/>
          <w:tab w:leader="none" w:pos="8160" w:val="left"/>
        </w:tabs>
        <w:rPr>
          <w:sz w:val="20"/>
          <w:szCs w:val="20"/>
          <w:color w:val="auto"/>
        </w:rPr>
      </w:pPr>
      <w:r>
        <w:rPr>
          <w:rFonts w:ascii="Arial" w:cs="Arial" w:eastAsia="Arial" w:hAnsi="Arial"/>
          <w:sz w:val="18"/>
          <w:szCs w:val="18"/>
          <w:color w:val="auto"/>
        </w:rPr>
        <w:t>Date: June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C. Eichler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14605</wp:posOffset>
            </wp:positionV>
            <wp:extent cx="32073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jc w:val="center"/>
        <w:ind w:left="6360"/>
        <w:spacing w:after="0"/>
        <w:rPr>
          <w:sz w:val="20"/>
          <w:szCs w:val="20"/>
          <w:color w:val="auto"/>
        </w:rPr>
      </w:pPr>
      <w:r>
        <w:rPr>
          <w:rFonts w:ascii="Arial" w:cs="Arial" w:eastAsia="Arial" w:hAnsi="Arial"/>
          <w:sz w:val="14"/>
          <w:szCs w:val="14"/>
          <w:b w:val="1"/>
          <w:bCs w:val="1"/>
          <w:color w:val="auto"/>
        </w:rPr>
        <w:t>Kevin C. Eichler</w:t>
      </w:r>
    </w:p>
    <w:p>
      <w:pPr>
        <w:jc w:val="center"/>
        <w:ind w:left="6360"/>
        <w:spacing w:after="0"/>
        <w:rPr>
          <w:sz w:val="20"/>
          <w:szCs w:val="20"/>
          <w:color w:val="auto"/>
        </w:rPr>
      </w:pPr>
      <w:r>
        <w:rPr>
          <w:rFonts w:ascii="Arial" w:cs="Arial" w:eastAsia="Arial" w:hAnsi="Arial"/>
          <w:sz w:val="14"/>
          <w:szCs w:val="14"/>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800"/>
          </w:cols>
          <w:pgMar w:left="240" w:top="121" w:right="85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Ambarella,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80" w:hanging="254"/>
        <w:spacing w:after="0"/>
        <w:tabs>
          <w:tab w:leader="none" w:pos="7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40" w:firstLine="526"/>
        <w:spacing w:after="0" w:line="342" w:lineRule="auto"/>
        <w:tabs>
          <w:tab w:leader="none" w:pos="763"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26"/>
        <w:spacing w:after="0" w:line="264" w:lineRule="auto"/>
        <w:tabs>
          <w:tab w:leader="none" w:pos="773"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526"/>
        <w:spacing w:after="0" w:line="277" w:lineRule="auto"/>
        <w:tabs>
          <w:tab w:leader="none" w:pos="77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2019</w:t>
      </w:r>
    </w:p>
    <w:p>
      <w:pPr>
        <w:spacing w:after="0" w:line="23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Feng-Ming Wang</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-130810</wp:posOffset>
            </wp:positionV>
            <wp:extent cx="26327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Kevin C. Eichler,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Ambarella,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80" w:hanging="254"/>
        <w:spacing w:after="0"/>
        <w:tabs>
          <w:tab w:leader="none" w:pos="7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40" w:firstLine="526"/>
        <w:spacing w:after="0" w:line="342" w:lineRule="auto"/>
        <w:tabs>
          <w:tab w:leader="none" w:pos="763"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26"/>
        <w:spacing w:after="0" w:line="264" w:lineRule="auto"/>
        <w:tabs>
          <w:tab w:leader="none" w:pos="773"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526"/>
        <w:spacing w:after="0" w:line="277" w:lineRule="auto"/>
        <w:tabs>
          <w:tab w:leader="none" w:pos="77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2019</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Kevin C. Eichler</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Kevin C. Eichler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-130810</wp:posOffset>
            </wp:positionV>
            <wp:extent cx="28384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 Feng-Ming Wang, certify, pursuant to 18 U.S.C. Section 1350, as adopted pursuant to Section 906 of the Sarbanes-Oxley Act of 2002, that the Quarterly Report of Ambarella, Inc. on Form 10-Q for the fiscal quarter ended April 30, 2019 fully complies with the requirements of Section 13(a) or 15(d) of the Securities Exchange Act of 1934 and that information contained in such Quarterly Report on Form 10-Q fairly presents in all material respects the financial condition and results of operations of Ambarella,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2019</w:t>
      </w:r>
    </w:p>
    <w:p>
      <w:pPr>
        <w:spacing w:after="0" w:line="23" w:lineRule="exact"/>
        <w:rPr>
          <w:sz w:val="20"/>
          <w:szCs w:val="20"/>
          <w:color w:val="auto"/>
        </w:rPr>
      </w:pPr>
    </w:p>
    <w:tbl>
      <w:tblPr>
        <w:tblLayout w:type="fixed"/>
        <w:tblInd w:w="728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Feng-Ming Wang</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40" w:type="dxa"/>
            <w:vAlign w:val="bottom"/>
          </w:tcPr>
          <w:p>
            <w:pPr>
              <w:spacing w:after="0" w:line="195" w:lineRule="exact"/>
              <w:rPr>
                <w:sz w:val="20"/>
                <w:szCs w:val="20"/>
                <w:color w:val="auto"/>
              </w:rPr>
            </w:pPr>
            <w:r>
              <w:rPr>
                <w:rFonts w:ascii="Arial" w:cs="Arial" w:eastAsia="Arial" w:hAnsi="Arial"/>
                <w:sz w:val="18"/>
                <w:szCs w:val="18"/>
                <w:color w:val="auto"/>
              </w:rPr>
              <w:t>Feng-Ming Wang</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 Kevin C. Eichler, certify, pursuant to 18 U.S.C. Section 1350, as adopted pursuant to Section 906 of the Sarbanes-Oxley Act of 2002, that the Quarterly Report of Ambarella, Inc. on Form 10-Q for the fiscal quarter ended April 30, 2019 fully complies with the requirements of Section 13(a) or 15(d) of the Securities Exchange Act of 1934 and that information contained in such Quarterly Report on Form 10-Q fairly presents in all material respects the financial condition and results of operations of Ambarella, Inc.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2019</w:t>
      </w:r>
    </w:p>
    <w:p>
      <w:pPr>
        <w:spacing w:after="0" w:line="23" w:lineRule="exact"/>
        <w:rPr>
          <w:sz w:val="20"/>
          <w:szCs w:val="20"/>
          <w:color w:val="auto"/>
        </w:rPr>
      </w:pPr>
    </w:p>
    <w:tbl>
      <w:tblPr>
        <w:tblLayout w:type="fixed"/>
        <w:tblInd w:w="728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C. Eichler</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40" w:type="dxa"/>
            <w:vAlign w:val="bottom"/>
          </w:tcPr>
          <w:p>
            <w:pPr>
              <w:spacing w:after="0" w:line="195" w:lineRule="exact"/>
              <w:rPr>
                <w:sz w:val="20"/>
                <w:szCs w:val="20"/>
                <w:color w:val="auto"/>
              </w:rPr>
            </w:pPr>
            <w:r>
              <w:rPr>
                <w:rFonts w:ascii="Arial" w:cs="Arial" w:eastAsia="Arial" w:hAnsi="Arial"/>
                <w:sz w:val="18"/>
                <w:szCs w:val="18"/>
                <w:color w:val="auto"/>
              </w:rPr>
              <w:t>Kevin C. Eichler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lowerRoman"/>
      <w:start w:val="2"/>
    </w:lvl>
  </w:abstractNum>
  <w:abstractNum w:abstractNumId="4">
    <w:nsid w:val="109CF92E"/>
    <w:multiLevelType w:val="hybridMultilevel"/>
    <w:lvl w:ilvl="0">
      <w:lvlJc w:val="left"/>
      <w:lvlText w:val="(%1)"/>
      <w:numFmt w:val="lowerRoman"/>
      <w:start w:val="8"/>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77" Type="http://schemas.openxmlformats.org/officeDocument/2006/relationships/hyperlink" Target="http://www.sec.gov/Archives/edgar/data/0001280263/000119312512389774/d193541dex32.htm" TargetMode="External"/><Relationship Id="rId78" Type="http://schemas.openxmlformats.org/officeDocument/2006/relationships/hyperlink" Target="http://www.sec.gov/Archives/edgar/data/1280263/000119312519065744/d679867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2019-12-28T11:03:32Z</dcterms:created>
  <dcterms:modified xsi:type="dcterms:W3CDTF">2019-12-28T11:03:32Z</dcterms:modified>
</cp:coreProperties>
</file>